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643D" w:rsidRPr="0027643D" w:rsidRDefault="0027643D" w:rsidP="0027643D">
      <w:pPr>
        <w:spacing w:after="0" w:line="240" w:lineRule="auto"/>
        <w:ind w:firstLine="284"/>
        <w:jc w:val="center"/>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xml:space="preserve">УПРАВЛЕНИЕ ИМУЩЕСТВЕННЫХ И ЗЕМЕЛЬНЫХ ОТНОШЕНИЙ </w:t>
      </w:r>
    </w:p>
    <w:p w:rsidR="0027643D" w:rsidRPr="0027643D" w:rsidRDefault="0027643D" w:rsidP="0027643D">
      <w:pPr>
        <w:spacing w:after="0" w:line="240" w:lineRule="auto"/>
        <w:ind w:firstLine="284"/>
        <w:jc w:val="center"/>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АДМИНИСТРАЦИИ ГОРОДА БЕРЕЗНИКИ</w:t>
      </w:r>
    </w:p>
    <w:p w:rsidR="0027643D" w:rsidRPr="0027643D" w:rsidRDefault="0027643D" w:rsidP="0027643D">
      <w:pPr>
        <w:spacing w:after="0" w:line="240" w:lineRule="auto"/>
        <w:ind w:firstLine="284"/>
        <w:jc w:val="center"/>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xml:space="preserve">на основании решений заседания комиссии по продаже земельных участков и прав их аренды </w:t>
      </w:r>
    </w:p>
    <w:p w:rsidR="0027643D" w:rsidRPr="0027643D" w:rsidRDefault="0027643D" w:rsidP="0027643D">
      <w:pPr>
        <w:spacing w:after="0" w:line="240" w:lineRule="auto"/>
        <w:ind w:firstLine="284"/>
        <w:jc w:val="center"/>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от 28 марта 2022 года</w:t>
      </w:r>
    </w:p>
    <w:p w:rsidR="0027643D" w:rsidRPr="0027643D" w:rsidRDefault="0027643D" w:rsidP="0027643D">
      <w:pPr>
        <w:spacing w:after="0" w:line="240" w:lineRule="auto"/>
        <w:ind w:firstLine="284"/>
        <w:jc w:val="center"/>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сообщает о проведении торгов по продаже прав на земельные участки</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Для продажи на торгах предлагаются следующие лоты:</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Извещение по торгам, проводимым в очной форме:</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p>
    <w:p w:rsidR="0027643D" w:rsidRPr="0027643D" w:rsidRDefault="0027643D" w:rsidP="0027643D">
      <w:pPr>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b/>
          <w:sz w:val="20"/>
          <w:szCs w:val="20"/>
          <w:lang w:eastAsia="ru-RU"/>
        </w:rPr>
        <w:t>Лот № 1.</w:t>
      </w:r>
      <w:r w:rsidRPr="0027643D">
        <w:rPr>
          <w:rFonts w:ascii="Times New Roman" w:eastAsia="Times New Roman" w:hAnsi="Times New Roman" w:cs="Times New Roman"/>
          <w:bCs/>
          <w:sz w:val="20"/>
          <w:szCs w:val="20"/>
          <w:lang w:eastAsia="ru-RU"/>
        </w:rPr>
        <w:t xml:space="preserve"> </w:t>
      </w:r>
      <w:r w:rsidRPr="0027643D">
        <w:rPr>
          <w:rFonts w:ascii="Times New Roman" w:eastAsia="Times New Roman" w:hAnsi="Times New Roman" w:cs="Times New Roman"/>
          <w:sz w:val="20"/>
          <w:szCs w:val="20"/>
          <w:lang w:eastAsia="ru-RU"/>
        </w:rPr>
        <w:t xml:space="preserve">Право заключения договора аренды земельного участка (категория земель – земли населенных пунктов) с кадастровым номером 59:37:0800101:254 площадью 2500 </w:t>
      </w:r>
      <w:proofErr w:type="spellStart"/>
      <w:r w:rsidRPr="0027643D">
        <w:rPr>
          <w:rFonts w:ascii="Times New Roman" w:eastAsia="Times New Roman" w:hAnsi="Times New Roman" w:cs="Times New Roman"/>
          <w:sz w:val="20"/>
          <w:szCs w:val="20"/>
          <w:lang w:eastAsia="ru-RU"/>
        </w:rPr>
        <w:t>кв.м</w:t>
      </w:r>
      <w:proofErr w:type="spellEnd"/>
      <w:r w:rsidRPr="0027643D">
        <w:rPr>
          <w:rFonts w:ascii="Times New Roman" w:eastAsia="Times New Roman" w:hAnsi="Times New Roman" w:cs="Times New Roman"/>
          <w:sz w:val="20"/>
          <w:szCs w:val="20"/>
          <w:lang w:eastAsia="ru-RU"/>
        </w:rPr>
        <w:t xml:space="preserve"> для индивидуального жилищного строительства по адресу: муниципальное образование «Город Березники» Пермского края, </w:t>
      </w:r>
      <w:proofErr w:type="spellStart"/>
      <w:r w:rsidRPr="0027643D">
        <w:rPr>
          <w:rFonts w:ascii="Times New Roman" w:eastAsia="Times New Roman" w:hAnsi="Times New Roman" w:cs="Times New Roman"/>
          <w:sz w:val="20"/>
          <w:szCs w:val="20"/>
          <w:lang w:eastAsia="ru-RU"/>
        </w:rPr>
        <w:t>п</w:t>
      </w:r>
      <w:proofErr w:type="gramStart"/>
      <w:r w:rsidRPr="0027643D">
        <w:rPr>
          <w:rFonts w:ascii="Times New Roman" w:eastAsia="Times New Roman" w:hAnsi="Times New Roman" w:cs="Times New Roman"/>
          <w:sz w:val="20"/>
          <w:szCs w:val="20"/>
          <w:lang w:eastAsia="ru-RU"/>
        </w:rPr>
        <w:t>.С</w:t>
      </w:r>
      <w:proofErr w:type="gramEnd"/>
      <w:r w:rsidRPr="0027643D">
        <w:rPr>
          <w:rFonts w:ascii="Times New Roman" w:eastAsia="Times New Roman" w:hAnsi="Times New Roman" w:cs="Times New Roman"/>
          <w:sz w:val="20"/>
          <w:szCs w:val="20"/>
          <w:lang w:eastAsia="ru-RU"/>
        </w:rPr>
        <w:t>олнечный</w:t>
      </w:r>
      <w:proofErr w:type="spellEnd"/>
      <w:r w:rsidRPr="0027643D">
        <w:rPr>
          <w:rFonts w:ascii="Times New Roman" w:eastAsia="Times New Roman" w:hAnsi="Times New Roman" w:cs="Times New Roman"/>
          <w:sz w:val="20"/>
          <w:szCs w:val="20"/>
          <w:lang w:eastAsia="ru-RU"/>
        </w:rPr>
        <w:t>, ул. Южная, 26а. Срок аренды – 20 лет.</w:t>
      </w:r>
    </w:p>
    <w:p w:rsidR="0027643D" w:rsidRPr="0027643D" w:rsidRDefault="0027643D" w:rsidP="0027643D">
      <w:pPr>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b/>
          <w:sz w:val="20"/>
          <w:szCs w:val="20"/>
          <w:lang w:eastAsia="ru-RU"/>
        </w:rPr>
        <w:t>Начальная цена предмета торгов: размер ежегодной арендной платы за землю – 10000,00 рублей</w:t>
      </w:r>
      <w:r w:rsidRPr="0027643D">
        <w:rPr>
          <w:rFonts w:ascii="Times New Roman" w:eastAsia="Times New Roman" w:hAnsi="Times New Roman" w:cs="Times New Roman"/>
          <w:sz w:val="20"/>
          <w:szCs w:val="20"/>
          <w:lang w:eastAsia="ru-RU"/>
        </w:rPr>
        <w:t>.</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Сумма задатка: 100 % от начальной цены предмета торгов – 10000,00 руб.</w:t>
      </w:r>
    </w:p>
    <w:p w:rsidR="0027643D" w:rsidRPr="0027643D" w:rsidRDefault="0027643D" w:rsidP="0027643D">
      <w:pPr>
        <w:tabs>
          <w:tab w:val="num" w:pos="1128"/>
        </w:tabs>
        <w:spacing w:after="0" w:line="240" w:lineRule="auto"/>
        <w:ind w:firstLine="284"/>
        <w:jc w:val="both"/>
        <w:rPr>
          <w:rFonts w:ascii="Times New Roman" w:eastAsia="Times New Roman" w:hAnsi="Times New Roman" w:cs="Times New Roman"/>
          <w:b/>
          <w:bCs/>
          <w:sz w:val="20"/>
          <w:szCs w:val="20"/>
          <w:lang w:eastAsia="ru-RU"/>
        </w:rPr>
      </w:pPr>
      <w:r w:rsidRPr="0027643D">
        <w:rPr>
          <w:rFonts w:ascii="Times New Roman" w:eastAsia="Times New Roman" w:hAnsi="Times New Roman" w:cs="Times New Roman"/>
          <w:b/>
          <w:bCs/>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7"/>
        <w:gridCol w:w="1481"/>
        <w:gridCol w:w="1908"/>
        <w:gridCol w:w="1581"/>
        <w:gridCol w:w="1564"/>
        <w:gridCol w:w="1136"/>
        <w:gridCol w:w="1454"/>
      </w:tblGrid>
      <w:tr w:rsidR="0027643D" w:rsidRPr="0027643D" w:rsidTr="00275DE0">
        <w:trPr>
          <w:tblHeader/>
        </w:trPr>
        <w:tc>
          <w:tcPr>
            <w:tcW w:w="0" w:type="auto"/>
            <w:vMerge w:val="restart"/>
            <w:tcBorders>
              <w:right w:val="single" w:sz="4" w:space="0" w:color="auto"/>
            </w:tcBorders>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 xml:space="preserve">№ </w:t>
            </w:r>
            <w:proofErr w:type="gramStart"/>
            <w:r w:rsidRPr="0027643D">
              <w:rPr>
                <w:rFonts w:ascii="Times New Roman" w:eastAsia="Times New Roman" w:hAnsi="Times New Roman" w:cs="Times New Roman"/>
                <w:b/>
                <w:sz w:val="16"/>
                <w:szCs w:val="16"/>
                <w:lang w:eastAsia="ru-RU"/>
              </w:rPr>
              <w:t>п</w:t>
            </w:r>
            <w:proofErr w:type="gramEnd"/>
            <w:r w:rsidRPr="0027643D">
              <w:rPr>
                <w:rFonts w:ascii="Times New Roman" w:eastAsia="Times New Roman" w:hAnsi="Times New Roman" w:cs="Times New Roman"/>
                <w:b/>
                <w:sz w:val="16"/>
                <w:szCs w:val="16"/>
                <w:lang w:eastAsia="ru-RU"/>
              </w:rPr>
              <w:t>/п</w:t>
            </w:r>
          </w:p>
        </w:tc>
        <w:tc>
          <w:tcPr>
            <w:tcW w:w="0" w:type="auto"/>
            <w:vMerge w:val="restart"/>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 xml:space="preserve">Наименование вида  разрешенного использования земельного участка – </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b/>
                <w:sz w:val="16"/>
                <w:szCs w:val="16"/>
                <w:lang w:eastAsia="ru-RU"/>
              </w:rPr>
              <w:t>код Классификатора</w:t>
            </w:r>
          </w:p>
        </w:tc>
        <w:tc>
          <w:tcPr>
            <w:tcW w:w="0" w:type="auto"/>
            <w:vMerge w:val="restart"/>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 xml:space="preserve">Описание вида </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b/>
                <w:sz w:val="16"/>
                <w:szCs w:val="16"/>
                <w:lang w:eastAsia="ru-RU"/>
              </w:rPr>
              <w:t>разрешенного использования  земельного участка</w:t>
            </w:r>
          </w:p>
        </w:tc>
        <w:tc>
          <w:tcPr>
            <w:tcW w:w="0" w:type="auto"/>
            <w:gridSpan w:val="4"/>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c>
      </w:tr>
      <w:tr w:rsidR="0027643D" w:rsidRPr="0027643D" w:rsidTr="00275DE0">
        <w:trPr>
          <w:tblHeader/>
        </w:trPr>
        <w:tc>
          <w:tcPr>
            <w:tcW w:w="0" w:type="auto"/>
            <w:vMerge/>
            <w:tcBorders>
              <w:right w:val="single" w:sz="4" w:space="0" w:color="auto"/>
            </w:tcBorders>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 xml:space="preserve">предельные (минимальные и (или) максимальные) размеры земельных участков, </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b/>
                <w:sz w:val="16"/>
                <w:szCs w:val="16"/>
                <w:lang w:eastAsia="ru-RU"/>
              </w:rPr>
              <w:t>в том числе их площадь</w:t>
            </w:r>
            <w:proofErr w:type="gramStart"/>
            <w:r w:rsidRPr="0027643D">
              <w:rPr>
                <w:rFonts w:ascii="Times New Roman" w:eastAsia="Times New Roman" w:hAnsi="Times New Roman" w:cs="Times New Roman"/>
                <w:b/>
                <w:sz w:val="16"/>
                <w:szCs w:val="16"/>
                <w:vertAlign w:val="superscript"/>
                <w:lang w:eastAsia="ru-RU"/>
              </w:rPr>
              <w:t>1</w:t>
            </w:r>
            <w:proofErr w:type="gramEnd"/>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 xml:space="preserve">минимальные отступы </w:t>
            </w:r>
          </w:p>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 xml:space="preserve">от границ земельных участков в целях определения мест допустимого размещения зданий, строений, сооружений, </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b/>
                <w:sz w:val="16"/>
                <w:szCs w:val="16"/>
                <w:lang w:eastAsia="ru-RU"/>
              </w:rPr>
              <w:t>за пределами которых запрещено строительство зданий, строений, сооружений</w:t>
            </w:r>
            <w:proofErr w:type="gramStart"/>
            <w:r w:rsidRPr="0027643D">
              <w:rPr>
                <w:rFonts w:ascii="Times New Roman" w:eastAsia="Times New Roman" w:hAnsi="Times New Roman" w:cs="Times New Roman"/>
                <w:b/>
                <w:sz w:val="16"/>
                <w:szCs w:val="16"/>
                <w:vertAlign w:val="superscript"/>
                <w:lang w:eastAsia="ru-RU"/>
              </w:rPr>
              <w:t>2</w:t>
            </w:r>
            <w:proofErr w:type="gramEnd"/>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предельное количество этажей</w:t>
            </w:r>
            <w:r w:rsidRPr="0027643D">
              <w:rPr>
                <w:rFonts w:ascii="Times New Roman" w:eastAsia="Times New Roman" w:hAnsi="Times New Roman" w:cs="Times New Roman"/>
                <w:b/>
                <w:sz w:val="16"/>
                <w:szCs w:val="16"/>
                <w:vertAlign w:val="superscript"/>
                <w:lang w:eastAsia="ru-RU"/>
              </w:rPr>
              <w:t>3</w:t>
            </w:r>
            <w:r w:rsidRPr="0027643D">
              <w:rPr>
                <w:rFonts w:ascii="Times New Roman" w:eastAsia="Times New Roman" w:hAnsi="Times New Roman" w:cs="Times New Roman"/>
                <w:b/>
                <w:sz w:val="16"/>
                <w:szCs w:val="16"/>
                <w:lang w:eastAsia="ru-RU"/>
              </w:rPr>
              <w:t xml:space="preserve"> или предельная высота зданий, строений, сооружений</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 xml:space="preserve">максимальный процент застройки </w:t>
            </w:r>
          </w:p>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 xml:space="preserve">в границах земельного участка, </w:t>
            </w:r>
            <w:proofErr w:type="gramStart"/>
            <w:r w:rsidRPr="0027643D">
              <w:rPr>
                <w:rFonts w:ascii="Times New Roman" w:eastAsia="Times New Roman" w:hAnsi="Times New Roman" w:cs="Times New Roman"/>
                <w:b/>
                <w:sz w:val="16"/>
                <w:szCs w:val="16"/>
                <w:lang w:eastAsia="ru-RU"/>
              </w:rPr>
              <w:t>определяемый</w:t>
            </w:r>
            <w:proofErr w:type="gramEnd"/>
            <w:r w:rsidRPr="0027643D">
              <w:rPr>
                <w:rFonts w:ascii="Times New Roman" w:eastAsia="Times New Roman" w:hAnsi="Times New Roman" w:cs="Times New Roman"/>
                <w:b/>
                <w:sz w:val="16"/>
                <w:szCs w:val="16"/>
                <w:lang w:eastAsia="ru-RU"/>
              </w:rPr>
              <w:t xml:space="preserve"> как отношение суммарной площади земельного участка, которая может быть застроена, ко всей площади земельного участка</w:t>
            </w:r>
          </w:p>
        </w:tc>
      </w:tr>
      <w:tr w:rsidR="0027643D" w:rsidRPr="0027643D" w:rsidTr="00275DE0">
        <w:trPr>
          <w:tblHeader/>
        </w:trPr>
        <w:tc>
          <w:tcPr>
            <w:tcW w:w="0" w:type="auto"/>
            <w:tcBorders>
              <w:right w:val="single" w:sz="4" w:space="0" w:color="auto"/>
            </w:tcBorders>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1</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2</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3</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4</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5</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6</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7</w:t>
            </w:r>
          </w:p>
        </w:tc>
      </w:tr>
      <w:tr w:rsidR="0027643D" w:rsidRPr="0027643D" w:rsidTr="00275DE0">
        <w:tc>
          <w:tcPr>
            <w:tcW w:w="0" w:type="auto"/>
            <w:gridSpan w:val="7"/>
            <w:tcBorders>
              <w:right w:val="single" w:sz="4" w:space="0" w:color="auto"/>
            </w:tcBorders>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val="en-US" w:eastAsia="ru-RU"/>
              </w:rPr>
              <w:t>I</w:t>
            </w:r>
            <w:r w:rsidRPr="0027643D">
              <w:rPr>
                <w:rFonts w:ascii="Times New Roman" w:eastAsia="Times New Roman" w:hAnsi="Times New Roman" w:cs="Times New Roman"/>
                <w:b/>
                <w:sz w:val="16"/>
                <w:szCs w:val="16"/>
                <w:lang w:eastAsia="ru-RU"/>
              </w:rPr>
              <w:t>.Основные виды разрешенного использования земельных участков и объектов капитального строительства</w:t>
            </w:r>
          </w:p>
        </w:tc>
      </w:tr>
      <w:tr w:rsidR="0027643D" w:rsidRPr="0027643D" w:rsidTr="00275DE0">
        <w:tc>
          <w:tcPr>
            <w:tcW w:w="0" w:type="auto"/>
            <w:tcBorders>
              <w:right w:val="single" w:sz="4" w:space="0" w:color="auto"/>
            </w:tcBorders>
          </w:tcPr>
          <w:p w:rsidR="0027643D" w:rsidRPr="0027643D" w:rsidRDefault="0027643D" w:rsidP="0027643D">
            <w:pPr>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1.</w:t>
            </w:r>
          </w:p>
        </w:tc>
        <w:tc>
          <w:tcPr>
            <w:tcW w:w="0" w:type="auto"/>
            <w:tcBorders>
              <w:right w:val="single" w:sz="4" w:space="0" w:color="auto"/>
            </w:tcBorders>
            <w:shd w:val="clear" w:color="auto" w:fill="auto"/>
          </w:tcPr>
          <w:p w:rsidR="0027643D" w:rsidRPr="0027643D" w:rsidRDefault="0027643D" w:rsidP="0027643D">
            <w:pPr>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Для индивидуального жилищного </w:t>
            </w:r>
          </w:p>
          <w:p w:rsidR="0027643D" w:rsidRPr="0027643D" w:rsidRDefault="0027643D" w:rsidP="0027643D">
            <w:pPr>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строительства – код 2.1</w:t>
            </w:r>
          </w:p>
          <w:p w:rsidR="0027643D" w:rsidRPr="0027643D" w:rsidRDefault="0027643D" w:rsidP="0027643D">
            <w:pPr>
              <w:spacing w:after="0" w:line="240" w:lineRule="auto"/>
              <w:rPr>
                <w:rFonts w:ascii="Times New Roman" w:eastAsia="Times New Roman" w:hAnsi="Times New Roman" w:cs="Times New Roman"/>
                <w:sz w:val="16"/>
                <w:szCs w:val="16"/>
                <w:lang w:eastAsia="ru-RU"/>
              </w:rPr>
            </w:pPr>
          </w:p>
        </w:tc>
        <w:tc>
          <w:tcPr>
            <w:tcW w:w="0" w:type="auto"/>
          </w:tcPr>
          <w:p w:rsidR="0027643D" w:rsidRPr="0027643D" w:rsidRDefault="0027643D" w:rsidP="0027643D">
            <w:pPr>
              <w:autoSpaceDE w:val="0"/>
              <w:autoSpaceDN w:val="0"/>
              <w:adjustRightInd w:val="0"/>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Размещение жилого дома </w:t>
            </w:r>
          </w:p>
          <w:p w:rsidR="0027643D" w:rsidRPr="0027643D" w:rsidRDefault="0027643D" w:rsidP="0027643D">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27643D">
              <w:rPr>
                <w:rFonts w:ascii="Times New Roman" w:eastAsia="Times New Roman" w:hAnsi="Times New Roman" w:cs="Times New Roman"/>
                <w:sz w:val="16"/>
                <w:szCs w:val="16"/>
                <w:lang w:eastAsia="ru-RU"/>
              </w:rPr>
              <w:t xml:space="preserve">(отдельно стоящего здания </w:t>
            </w:r>
            <w:proofErr w:type="gramEnd"/>
          </w:p>
          <w:p w:rsidR="0027643D" w:rsidRPr="0027643D" w:rsidRDefault="0027643D" w:rsidP="0027643D">
            <w:pPr>
              <w:autoSpaceDE w:val="0"/>
              <w:autoSpaceDN w:val="0"/>
              <w:adjustRightInd w:val="0"/>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количеством надземных этажей </w:t>
            </w:r>
          </w:p>
          <w:p w:rsidR="0027643D" w:rsidRPr="0027643D" w:rsidRDefault="0027643D" w:rsidP="0027643D">
            <w:pPr>
              <w:autoSpaceDE w:val="0"/>
              <w:autoSpaceDN w:val="0"/>
              <w:adjustRightInd w:val="0"/>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не более чем три, высотой </w:t>
            </w:r>
          </w:p>
          <w:p w:rsidR="0027643D" w:rsidRPr="0027643D" w:rsidRDefault="0027643D" w:rsidP="0027643D">
            <w:pPr>
              <w:autoSpaceDE w:val="0"/>
              <w:autoSpaceDN w:val="0"/>
              <w:adjustRightInd w:val="0"/>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не более двадцати метров, </w:t>
            </w:r>
          </w:p>
          <w:p w:rsidR="0027643D" w:rsidRPr="0027643D" w:rsidRDefault="0027643D" w:rsidP="0027643D">
            <w:pPr>
              <w:autoSpaceDE w:val="0"/>
              <w:autoSpaceDN w:val="0"/>
              <w:adjustRightInd w:val="0"/>
              <w:spacing w:after="0" w:line="240" w:lineRule="auto"/>
              <w:rPr>
                <w:rFonts w:ascii="Times New Roman" w:eastAsia="Times New Roman" w:hAnsi="Times New Roman" w:cs="Times New Roman"/>
                <w:sz w:val="16"/>
                <w:szCs w:val="16"/>
                <w:lang w:eastAsia="ru-RU"/>
              </w:rPr>
            </w:pPr>
            <w:proofErr w:type="gramStart"/>
            <w:r w:rsidRPr="0027643D">
              <w:rPr>
                <w:rFonts w:ascii="Times New Roman" w:eastAsia="Times New Roman" w:hAnsi="Times New Roman" w:cs="Times New Roman"/>
                <w:sz w:val="16"/>
                <w:szCs w:val="16"/>
                <w:lang w:eastAsia="ru-RU"/>
              </w:rPr>
              <w:t>которое</w:t>
            </w:r>
            <w:proofErr w:type="gramEnd"/>
            <w:r w:rsidRPr="0027643D">
              <w:rPr>
                <w:rFonts w:ascii="Times New Roman" w:eastAsia="Times New Roman" w:hAnsi="Times New Roman" w:cs="Times New Roman"/>
                <w:sz w:val="16"/>
                <w:szCs w:val="16"/>
                <w:lang w:eastAsia="ru-RU"/>
              </w:rPr>
              <w:t xml:space="preserve">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w:t>
            </w:r>
          </w:p>
          <w:p w:rsidR="0027643D" w:rsidRPr="0027643D" w:rsidRDefault="0027643D" w:rsidP="0027643D">
            <w:pPr>
              <w:autoSpaceDE w:val="0"/>
              <w:autoSpaceDN w:val="0"/>
              <w:adjustRightInd w:val="0"/>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для раздела на самостоятельные объекты недвижимости);</w:t>
            </w:r>
          </w:p>
          <w:p w:rsidR="0027643D" w:rsidRPr="0027643D" w:rsidRDefault="0027643D" w:rsidP="0027643D">
            <w:pPr>
              <w:autoSpaceDE w:val="0"/>
              <w:autoSpaceDN w:val="0"/>
              <w:adjustRightInd w:val="0"/>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выращивание сельскохозяйственных культур;</w:t>
            </w:r>
          </w:p>
          <w:p w:rsidR="0027643D" w:rsidRPr="0027643D" w:rsidRDefault="0027643D" w:rsidP="0027643D">
            <w:pPr>
              <w:autoSpaceDE w:val="0"/>
              <w:autoSpaceDN w:val="0"/>
              <w:adjustRightInd w:val="0"/>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размещение гаражей для собственных нужд</w:t>
            </w:r>
          </w:p>
          <w:p w:rsidR="0027643D" w:rsidRPr="0027643D" w:rsidRDefault="0027643D" w:rsidP="0027643D">
            <w:pPr>
              <w:autoSpaceDE w:val="0"/>
              <w:autoSpaceDN w:val="0"/>
              <w:adjustRightInd w:val="0"/>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и хозяйственных построек</w:t>
            </w:r>
          </w:p>
        </w:tc>
        <w:tc>
          <w:tcPr>
            <w:tcW w:w="0" w:type="auto"/>
            <w:tcBorders>
              <w:right w:val="single" w:sz="4" w:space="0" w:color="auto"/>
            </w:tcBorders>
            <w:shd w:val="clear" w:color="auto" w:fill="auto"/>
          </w:tcPr>
          <w:p w:rsidR="0027643D" w:rsidRPr="0027643D" w:rsidRDefault="0027643D" w:rsidP="0027643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Минимальная площадь земельного участка</w:t>
            </w:r>
            <w:r w:rsidRPr="0027643D">
              <w:rPr>
                <w:rFonts w:ascii="Times New Roman" w:eastAsia="Times New Roman" w:hAnsi="Times New Roman" w:cs="Times New Roman"/>
                <w:sz w:val="16"/>
                <w:szCs w:val="16"/>
                <w:vertAlign w:val="superscript"/>
                <w:lang w:eastAsia="ru-RU"/>
              </w:rPr>
              <w:t>4</w:t>
            </w:r>
            <w:r w:rsidRPr="0027643D">
              <w:rPr>
                <w:rFonts w:ascii="Times New Roman" w:eastAsia="Times New Roman" w:hAnsi="Times New Roman" w:cs="Times New Roman"/>
                <w:sz w:val="16"/>
                <w:szCs w:val="16"/>
                <w:lang w:eastAsia="ru-RU"/>
              </w:rPr>
              <w:t xml:space="preserve"> – 400 </w:t>
            </w:r>
            <w:proofErr w:type="spellStart"/>
            <w:r w:rsidRPr="0027643D">
              <w:rPr>
                <w:rFonts w:ascii="Times New Roman" w:eastAsia="Times New Roman" w:hAnsi="Times New Roman" w:cs="Times New Roman"/>
                <w:sz w:val="16"/>
                <w:szCs w:val="16"/>
                <w:lang w:eastAsia="ru-RU"/>
              </w:rPr>
              <w:t>кв</w:t>
            </w:r>
            <w:proofErr w:type="gramStart"/>
            <w:r w:rsidRPr="0027643D">
              <w:rPr>
                <w:rFonts w:ascii="Times New Roman" w:eastAsia="Times New Roman" w:hAnsi="Times New Roman" w:cs="Times New Roman"/>
                <w:sz w:val="16"/>
                <w:szCs w:val="16"/>
                <w:lang w:eastAsia="ru-RU"/>
              </w:rPr>
              <w:t>.м</w:t>
            </w:r>
            <w:proofErr w:type="spellEnd"/>
            <w:proofErr w:type="gramEnd"/>
            <w:r w:rsidRPr="0027643D">
              <w:rPr>
                <w:rFonts w:ascii="Times New Roman" w:eastAsia="Times New Roman" w:hAnsi="Times New Roman" w:cs="Times New Roman"/>
                <w:sz w:val="16"/>
                <w:szCs w:val="16"/>
                <w:lang w:eastAsia="ru-RU"/>
              </w:rPr>
              <w:t>;</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максимальная площадь земельного участка – 2500 </w:t>
            </w:r>
            <w:proofErr w:type="spellStart"/>
            <w:r w:rsidRPr="0027643D">
              <w:rPr>
                <w:rFonts w:ascii="Times New Roman" w:eastAsia="Times New Roman" w:hAnsi="Times New Roman" w:cs="Times New Roman"/>
                <w:sz w:val="16"/>
                <w:szCs w:val="16"/>
                <w:lang w:eastAsia="ru-RU"/>
              </w:rPr>
              <w:t>кв</w:t>
            </w:r>
            <w:proofErr w:type="gramStart"/>
            <w:r w:rsidRPr="0027643D">
              <w:rPr>
                <w:rFonts w:ascii="Times New Roman" w:eastAsia="Times New Roman" w:hAnsi="Times New Roman" w:cs="Times New Roman"/>
                <w:sz w:val="16"/>
                <w:szCs w:val="16"/>
                <w:lang w:eastAsia="ru-RU"/>
              </w:rPr>
              <w:t>.м</w:t>
            </w:r>
            <w:proofErr w:type="spellEnd"/>
            <w:proofErr w:type="gramEnd"/>
            <w:r w:rsidRPr="0027643D">
              <w:rPr>
                <w:rFonts w:ascii="Times New Roman" w:eastAsia="Times New Roman" w:hAnsi="Times New Roman" w:cs="Times New Roman"/>
                <w:sz w:val="16"/>
                <w:szCs w:val="16"/>
                <w:lang w:eastAsia="ru-RU"/>
              </w:rPr>
              <w:t>;</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минимальная ширина вновь образуемых земельных участков вдоль фронтона улицы (проезда/переулка) - 18 м</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Минимальное расстояние от объекта капитального строительства и подсобных сооружений до красной линии </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улиц – 3 м; </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минимальное расстояние от объекта капитального строительства и подсобных сооружений до красной линии проездов - 3 м; минимальное расстояние от объекта капитального строительства до границ </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смежных земельных участков - 3 м;</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roofErr w:type="gramStart"/>
            <w:r w:rsidRPr="0027643D">
              <w:rPr>
                <w:rFonts w:ascii="Times New Roman" w:eastAsia="Times New Roman" w:hAnsi="Times New Roman" w:cs="Times New Roman"/>
                <w:sz w:val="16"/>
                <w:szCs w:val="16"/>
                <w:lang w:eastAsia="ru-RU"/>
              </w:rPr>
              <w:t xml:space="preserve">минимальное расстояние от вспомогательных построек (парников, навесов, стационарной емкости для воды, </w:t>
            </w:r>
            <w:r w:rsidRPr="0027643D">
              <w:rPr>
                <w:rFonts w:ascii="Times New Roman" w:eastAsia="Times New Roman" w:hAnsi="Times New Roman" w:cs="Times New Roman"/>
                <w:sz w:val="16"/>
                <w:szCs w:val="16"/>
                <w:lang w:eastAsia="ru-RU"/>
              </w:rPr>
              <w:lastRenderedPageBreak/>
              <w:t>навеса для автомобиля, индивидуального гаража, погреба, уборной, бань, саун и др.) до границы смежного участка -1 м</w:t>
            </w:r>
            <w:proofErr w:type="gramEnd"/>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lastRenderedPageBreak/>
              <w:t>для жилого дома - количество надземных этажей не более чем 3, высота – не более 20 м</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20 %</w:t>
            </w:r>
          </w:p>
        </w:tc>
      </w:tr>
    </w:tbl>
    <w:p w:rsidR="0027643D" w:rsidRPr="0027643D" w:rsidRDefault="0027643D" w:rsidP="0027643D">
      <w:pPr>
        <w:spacing w:after="0" w:line="240" w:lineRule="auto"/>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lastRenderedPageBreak/>
        <w:t xml:space="preserve">Примечание: </w:t>
      </w:r>
    </w:p>
    <w:p w:rsidR="0027643D" w:rsidRPr="0027643D" w:rsidRDefault="0027643D" w:rsidP="0027643D">
      <w:pPr>
        <w:spacing w:after="0" w:line="240" w:lineRule="auto"/>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1.Предельные (минимальные и (или) максимальные) размеры земельных участков, в том числе их площадь, применяются исключительно при образовании и изменении земельных участков. Не применяются для ранее учтенных земельных участков, внесенных в Единый государственный реестр недвижимости до 01.03.2008.</w:t>
      </w:r>
    </w:p>
    <w:p w:rsidR="0027643D" w:rsidRPr="0027643D" w:rsidRDefault="0027643D" w:rsidP="0027643D">
      <w:pPr>
        <w:spacing w:after="0" w:line="240" w:lineRule="auto"/>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2.Минимальные отступы от границ земельных участков в целях определения мест допустимого размещения объектов капитального строительства, за пределами которых запрещено строительство объектов капитального строительства при отсутствии координат красной линии, устанавливаются от границы земельного участка со стороны улицы/проезда до момента установления координат красной линии.</w:t>
      </w:r>
    </w:p>
    <w:p w:rsidR="0027643D" w:rsidRPr="0027643D" w:rsidRDefault="0027643D" w:rsidP="0027643D">
      <w:pPr>
        <w:spacing w:after="0" w:line="240" w:lineRule="auto"/>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При возведении на участке хозяйственных построек, располагаемых на расстоянии 1 м от границы соседнего участка, скат крыши следует ориентировать таким образом, чтобы сток дождевой воды, сход снега и сток хозяйственных вод бани и летнего душа не попадал на соседний участок, в том числе на земли общего пользования.</w:t>
      </w:r>
    </w:p>
    <w:p w:rsidR="0027643D" w:rsidRPr="0027643D" w:rsidRDefault="0027643D" w:rsidP="0027643D">
      <w:pPr>
        <w:spacing w:after="0" w:line="240" w:lineRule="auto"/>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3.Под количеством этажей следует понимать количество всех этажей, включая </w:t>
      </w:r>
      <w:proofErr w:type="gramStart"/>
      <w:r w:rsidRPr="0027643D">
        <w:rPr>
          <w:rFonts w:ascii="Times New Roman" w:eastAsia="Times New Roman" w:hAnsi="Times New Roman" w:cs="Times New Roman"/>
          <w:sz w:val="20"/>
          <w:szCs w:val="20"/>
          <w:lang w:eastAsia="ru-RU"/>
        </w:rPr>
        <w:t>подземный</w:t>
      </w:r>
      <w:proofErr w:type="gramEnd"/>
      <w:r w:rsidRPr="0027643D">
        <w:rPr>
          <w:rFonts w:ascii="Times New Roman" w:eastAsia="Times New Roman" w:hAnsi="Times New Roman" w:cs="Times New Roman"/>
          <w:sz w:val="20"/>
          <w:szCs w:val="20"/>
          <w:lang w:eastAsia="ru-RU"/>
        </w:rPr>
        <w:t>, подвальный, цокольный, надземный, технический, мансардный (не применяется к строке 1  и 2 раздела 1 таблицы настоящей статьи).</w:t>
      </w:r>
    </w:p>
    <w:p w:rsidR="0027643D" w:rsidRPr="0027643D" w:rsidRDefault="0027643D" w:rsidP="0027643D">
      <w:pPr>
        <w:spacing w:after="0" w:line="240" w:lineRule="auto"/>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4.Не устанавливаются для земельных участков, образуемых и изменяемых земельных участков, в случаях, если смежные земельные участки поставлены на государственный кадастровый учет и их границы установлены в соответствии с действующим законодательством Российской Федерации, а территория для образования или изменения земельного участка не может быть увеличена до минимального размера земельного участка.</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
          <w:bCs/>
          <w:sz w:val="20"/>
          <w:szCs w:val="20"/>
          <w:lang w:eastAsia="ru-RU"/>
        </w:rPr>
      </w:pPr>
      <w:r w:rsidRPr="0027643D">
        <w:rPr>
          <w:rFonts w:ascii="Times New Roman" w:eastAsia="Times New Roman" w:hAnsi="Times New Roman" w:cs="Times New Roman"/>
          <w:b/>
          <w:bCs/>
          <w:sz w:val="20"/>
          <w:szCs w:val="20"/>
          <w:lang w:eastAsia="ru-RU"/>
        </w:rPr>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1. Возможность подключения к сетям водоснабжения и водоотведения отсутствует.</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 xml:space="preserve">2. Возможность подключения объекта к сети газоснабжения в рамках </w:t>
      </w:r>
      <w:proofErr w:type="spellStart"/>
      <w:r w:rsidRPr="0027643D">
        <w:rPr>
          <w:rFonts w:ascii="Times New Roman" w:eastAsia="Times New Roman" w:hAnsi="Times New Roman" w:cs="Times New Roman"/>
          <w:bCs/>
          <w:sz w:val="20"/>
          <w:szCs w:val="20"/>
          <w:lang w:eastAsia="ru-RU"/>
        </w:rPr>
        <w:t>догазификации</w:t>
      </w:r>
      <w:proofErr w:type="spellEnd"/>
      <w:r w:rsidRPr="0027643D">
        <w:rPr>
          <w:rFonts w:ascii="Times New Roman" w:eastAsia="Times New Roman" w:hAnsi="Times New Roman" w:cs="Times New Roman"/>
          <w:bCs/>
          <w:sz w:val="20"/>
          <w:szCs w:val="20"/>
          <w:lang w:eastAsia="ru-RU"/>
        </w:rPr>
        <w:t xml:space="preserve"> отсутствует, так как в границах п. </w:t>
      </w:r>
      <w:proofErr w:type="gramStart"/>
      <w:r w:rsidRPr="0027643D">
        <w:rPr>
          <w:rFonts w:ascii="Times New Roman" w:eastAsia="Times New Roman" w:hAnsi="Times New Roman" w:cs="Times New Roman"/>
          <w:bCs/>
          <w:sz w:val="20"/>
          <w:szCs w:val="20"/>
          <w:lang w:eastAsia="ru-RU"/>
        </w:rPr>
        <w:t>Солнечный</w:t>
      </w:r>
      <w:proofErr w:type="gramEnd"/>
      <w:r w:rsidRPr="0027643D">
        <w:rPr>
          <w:rFonts w:ascii="Times New Roman" w:eastAsia="Times New Roman" w:hAnsi="Times New Roman" w:cs="Times New Roman"/>
          <w:bCs/>
          <w:sz w:val="20"/>
          <w:szCs w:val="20"/>
          <w:lang w:eastAsia="ru-RU"/>
        </w:rPr>
        <w:t xml:space="preserve"> нет сетей газораспределения и не осуществляется транспортировка газа, согласно раздела </w:t>
      </w:r>
      <w:r w:rsidRPr="0027643D">
        <w:rPr>
          <w:rFonts w:ascii="Times New Roman" w:eastAsia="Times New Roman" w:hAnsi="Times New Roman" w:cs="Times New Roman"/>
          <w:bCs/>
          <w:sz w:val="20"/>
          <w:szCs w:val="20"/>
          <w:lang w:val="en-US" w:eastAsia="ru-RU"/>
        </w:rPr>
        <w:t>VII</w:t>
      </w:r>
      <w:r w:rsidRPr="0027643D">
        <w:rPr>
          <w:rFonts w:ascii="Times New Roman" w:eastAsia="Times New Roman" w:hAnsi="Times New Roman" w:cs="Times New Roman"/>
          <w:bCs/>
          <w:sz w:val="20"/>
          <w:szCs w:val="20"/>
          <w:lang w:eastAsia="ru-RU"/>
        </w:rPr>
        <w:t xml:space="preserve"> п. 120 </w:t>
      </w:r>
      <w:r w:rsidRPr="0027643D">
        <w:rPr>
          <w:rFonts w:ascii="Times New Roman" w:eastAsia="Times New Roman" w:hAnsi="Times New Roman" w:cs="Times New Roman"/>
          <w:sz w:val="20"/>
          <w:szCs w:val="20"/>
          <w:lang w:eastAsia="ru-RU"/>
        </w:rPr>
        <w:t>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3. Возможность подключения к сетям теплоснабжения отсутствует.</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Предлагаемые условия:</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 Форма проведения торгов: </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участниками аукциона по лоту № 1 могут быть только граждане</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аукцион, открытый по форме подачи предложений по цене предмета торгов</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 </w:t>
      </w:r>
      <w:r w:rsidRPr="0027643D">
        <w:rPr>
          <w:rFonts w:ascii="Times New Roman" w:eastAsia="Times New Roman" w:hAnsi="Times New Roman" w:cs="Times New Roman"/>
          <w:b/>
          <w:sz w:val="20"/>
          <w:szCs w:val="20"/>
          <w:lang w:eastAsia="ru-RU"/>
        </w:rPr>
        <w:t>Дата и время начала приема заявок: 01 апреля 2022 года с 8-30.</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Порядок приема заявок: лично либо через законного представителя</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sz w:val="20"/>
          <w:szCs w:val="20"/>
          <w:lang w:eastAsia="ru-RU"/>
        </w:rPr>
        <w:t xml:space="preserve">- </w:t>
      </w:r>
      <w:r w:rsidRPr="0027643D">
        <w:rPr>
          <w:rFonts w:ascii="Times New Roman" w:eastAsia="Times New Roman" w:hAnsi="Times New Roman" w:cs="Times New Roman"/>
          <w:b/>
          <w:sz w:val="20"/>
          <w:szCs w:val="20"/>
          <w:lang w:eastAsia="ru-RU"/>
        </w:rPr>
        <w:t>Срок приема заявок и прилагаемых к ним документов: до 17-30 часов 17 мая 2022 года</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sz w:val="20"/>
          <w:szCs w:val="20"/>
          <w:lang w:eastAsia="ru-RU"/>
        </w:rPr>
        <w:t xml:space="preserve">- </w:t>
      </w:r>
      <w:r w:rsidRPr="0027643D">
        <w:rPr>
          <w:rFonts w:ascii="Times New Roman" w:eastAsia="Times New Roman" w:hAnsi="Times New Roman" w:cs="Times New Roman"/>
          <w:b/>
          <w:sz w:val="20"/>
          <w:szCs w:val="20"/>
          <w:lang w:eastAsia="ru-RU"/>
        </w:rPr>
        <w:t xml:space="preserve">Адрес места приема заявок: г. Березники, пр. Советский, 39, </w:t>
      </w:r>
      <w:proofErr w:type="spellStart"/>
      <w:r w:rsidRPr="0027643D">
        <w:rPr>
          <w:rFonts w:ascii="Times New Roman" w:eastAsia="Times New Roman" w:hAnsi="Times New Roman" w:cs="Times New Roman"/>
          <w:b/>
          <w:sz w:val="20"/>
          <w:szCs w:val="20"/>
          <w:lang w:eastAsia="ru-RU"/>
        </w:rPr>
        <w:t>каб</w:t>
      </w:r>
      <w:proofErr w:type="spellEnd"/>
      <w:r w:rsidRPr="0027643D">
        <w:rPr>
          <w:rFonts w:ascii="Times New Roman" w:eastAsia="Times New Roman" w:hAnsi="Times New Roman" w:cs="Times New Roman"/>
          <w:b/>
          <w:sz w:val="20"/>
          <w:szCs w:val="20"/>
          <w:lang w:eastAsia="ru-RU"/>
        </w:rPr>
        <w:t>. № 2</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Контактный телефон: т. 290-182</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lastRenderedPageBreak/>
        <w:t>- Дата определения участников торгов, подведения итогов торгов: 23 мая 2022 года в 14-00.</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xml:space="preserve">- Место определения участников торгов и подведение итогов торгов: г. Березники, пр. Советский, 39, </w:t>
      </w:r>
      <w:proofErr w:type="spellStart"/>
      <w:r w:rsidRPr="0027643D">
        <w:rPr>
          <w:rFonts w:ascii="Times New Roman" w:eastAsia="Times New Roman" w:hAnsi="Times New Roman" w:cs="Times New Roman"/>
          <w:b/>
          <w:sz w:val="20"/>
          <w:szCs w:val="20"/>
          <w:lang w:eastAsia="ru-RU"/>
        </w:rPr>
        <w:t>каб</w:t>
      </w:r>
      <w:proofErr w:type="spellEnd"/>
      <w:r w:rsidRPr="0027643D">
        <w:rPr>
          <w:rFonts w:ascii="Times New Roman" w:eastAsia="Times New Roman" w:hAnsi="Times New Roman" w:cs="Times New Roman"/>
          <w:b/>
          <w:sz w:val="20"/>
          <w:szCs w:val="20"/>
          <w:lang w:eastAsia="ru-RU"/>
        </w:rPr>
        <w:t>. 16</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xml:space="preserve">Заявки принимаются по предварительной записи. Записаться на сдачу заявки можно по телефону 8(3424) 290-182 или по электронной почте </w:t>
      </w:r>
      <w:proofErr w:type="spellStart"/>
      <w:r w:rsidRPr="0027643D">
        <w:rPr>
          <w:rFonts w:ascii="Times New Roman" w:eastAsia="Times New Roman" w:hAnsi="Times New Roman" w:cs="Times New Roman"/>
          <w:b/>
          <w:sz w:val="20"/>
          <w:szCs w:val="20"/>
          <w:lang w:val="en-US" w:eastAsia="ru-RU"/>
        </w:rPr>
        <w:t>zhuravleva</w:t>
      </w:r>
      <w:proofErr w:type="spellEnd"/>
      <w:r w:rsidRPr="0027643D">
        <w:rPr>
          <w:rFonts w:ascii="Times New Roman" w:eastAsia="Times New Roman" w:hAnsi="Times New Roman" w:cs="Times New Roman"/>
          <w:b/>
          <w:sz w:val="20"/>
          <w:szCs w:val="20"/>
          <w:lang w:eastAsia="ru-RU"/>
        </w:rPr>
        <w:t>_</w:t>
      </w:r>
      <w:r w:rsidRPr="0027643D">
        <w:rPr>
          <w:rFonts w:ascii="Times New Roman" w:eastAsia="Times New Roman" w:hAnsi="Times New Roman" w:cs="Times New Roman"/>
          <w:b/>
          <w:sz w:val="20"/>
          <w:szCs w:val="20"/>
          <w:lang w:val="en-US" w:eastAsia="ru-RU"/>
        </w:rPr>
        <w:t>e</w:t>
      </w:r>
      <w:r w:rsidRPr="0027643D">
        <w:rPr>
          <w:rFonts w:ascii="Times New Roman" w:eastAsia="Times New Roman" w:hAnsi="Times New Roman" w:cs="Times New Roman"/>
          <w:b/>
          <w:sz w:val="20"/>
          <w:szCs w:val="20"/>
          <w:lang w:eastAsia="ru-RU"/>
        </w:rPr>
        <w:t>@</w:t>
      </w:r>
      <w:proofErr w:type="spellStart"/>
      <w:r w:rsidRPr="0027643D">
        <w:rPr>
          <w:rFonts w:ascii="Times New Roman" w:eastAsia="Times New Roman" w:hAnsi="Times New Roman" w:cs="Times New Roman"/>
          <w:b/>
          <w:sz w:val="20"/>
          <w:szCs w:val="20"/>
          <w:lang w:val="en-US" w:eastAsia="ru-RU"/>
        </w:rPr>
        <w:t>berezniki</w:t>
      </w:r>
      <w:proofErr w:type="spellEnd"/>
      <w:r w:rsidRPr="0027643D">
        <w:rPr>
          <w:rFonts w:ascii="Times New Roman" w:eastAsia="Times New Roman" w:hAnsi="Times New Roman" w:cs="Times New Roman"/>
          <w:b/>
          <w:sz w:val="20"/>
          <w:szCs w:val="20"/>
          <w:lang w:eastAsia="ru-RU"/>
        </w:rPr>
        <w:t>.</w:t>
      </w:r>
      <w:r w:rsidRPr="0027643D">
        <w:rPr>
          <w:rFonts w:ascii="Times New Roman" w:eastAsia="Times New Roman" w:hAnsi="Times New Roman" w:cs="Times New Roman"/>
          <w:b/>
          <w:sz w:val="20"/>
          <w:szCs w:val="20"/>
          <w:lang w:val="en-US" w:eastAsia="ru-RU"/>
        </w:rPr>
        <w:t>perm</w:t>
      </w:r>
      <w:r w:rsidRPr="0027643D">
        <w:rPr>
          <w:rFonts w:ascii="Times New Roman" w:eastAsia="Times New Roman" w:hAnsi="Times New Roman" w:cs="Times New Roman"/>
          <w:b/>
          <w:sz w:val="20"/>
          <w:szCs w:val="20"/>
          <w:lang w:eastAsia="ru-RU"/>
        </w:rPr>
        <w:t>.</w:t>
      </w:r>
      <w:proofErr w:type="spellStart"/>
      <w:r w:rsidRPr="0027643D">
        <w:rPr>
          <w:rFonts w:ascii="Times New Roman" w:eastAsia="Times New Roman" w:hAnsi="Times New Roman" w:cs="Times New Roman"/>
          <w:b/>
          <w:sz w:val="20"/>
          <w:szCs w:val="20"/>
          <w:lang w:val="en-US" w:eastAsia="ru-RU"/>
        </w:rPr>
        <w:t>ru</w:t>
      </w:r>
      <w:proofErr w:type="spellEnd"/>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Срок заключения договора:  не ранее чем через 10 дней с момента подписания протокола о результатах торгов.</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27643D">
        <w:rPr>
          <w:rFonts w:ascii="Times New Roman" w:eastAsia="Times New Roman" w:hAnsi="Times New Roman" w:cs="Times New Roman"/>
          <w:sz w:val="20"/>
          <w:szCs w:val="20"/>
          <w:lang w:eastAsia="ru-RU"/>
        </w:rPr>
        <w:t>Проект договора аренды (купли-продажи)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w:t>
      </w:r>
      <w:proofErr w:type="gramEnd"/>
      <w:r w:rsidRPr="0027643D">
        <w:rPr>
          <w:rFonts w:ascii="Times New Roman" w:eastAsia="Times New Roman" w:hAnsi="Times New Roman" w:cs="Times New Roman"/>
          <w:sz w:val="20"/>
          <w:szCs w:val="20"/>
          <w:lang w:eastAsia="ru-RU"/>
        </w:rPr>
        <w:t xml:space="preserve"> </w:t>
      </w:r>
      <w:proofErr w:type="gramStart"/>
      <w:r w:rsidRPr="0027643D">
        <w:rPr>
          <w:rFonts w:ascii="Times New Roman" w:eastAsia="Times New Roman" w:hAnsi="Times New Roman" w:cs="Times New Roman"/>
          <w:sz w:val="20"/>
          <w:szCs w:val="20"/>
          <w:lang w:eastAsia="ru-RU"/>
        </w:rPr>
        <w:t xml:space="preserve">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Российской Федерации в информационно-телекоммуникационной сети "Интернет" </w:t>
      </w:r>
      <w:r w:rsidRPr="0027643D">
        <w:rPr>
          <w:rFonts w:ascii="Times New Roman" w:eastAsia="Times New Roman" w:hAnsi="Times New Roman" w:cs="Times New Roman"/>
          <w:sz w:val="20"/>
          <w:szCs w:val="20"/>
          <w:lang w:val="en-US" w:eastAsia="ru-RU"/>
        </w:rPr>
        <w:t>www</w:t>
      </w:r>
      <w:r w:rsidRPr="0027643D">
        <w:rPr>
          <w:rFonts w:ascii="Times New Roman" w:eastAsia="Times New Roman" w:hAnsi="Times New Roman" w:cs="Times New Roman"/>
          <w:sz w:val="20"/>
          <w:szCs w:val="20"/>
          <w:lang w:eastAsia="ru-RU"/>
        </w:rPr>
        <w:t>.</w:t>
      </w:r>
      <w:proofErr w:type="spellStart"/>
      <w:r w:rsidRPr="0027643D">
        <w:rPr>
          <w:rFonts w:ascii="Times New Roman" w:eastAsia="Times New Roman" w:hAnsi="Times New Roman" w:cs="Times New Roman"/>
          <w:sz w:val="20"/>
          <w:szCs w:val="20"/>
          <w:lang w:val="en-US" w:eastAsia="ru-RU"/>
        </w:rPr>
        <w:t>torgi</w:t>
      </w:r>
      <w:proofErr w:type="spellEnd"/>
      <w:r w:rsidRPr="0027643D">
        <w:rPr>
          <w:rFonts w:ascii="Times New Roman" w:eastAsia="Times New Roman" w:hAnsi="Times New Roman" w:cs="Times New Roman"/>
          <w:sz w:val="20"/>
          <w:szCs w:val="20"/>
          <w:lang w:eastAsia="ru-RU"/>
        </w:rPr>
        <w:t>.</w:t>
      </w:r>
      <w:proofErr w:type="spellStart"/>
      <w:r w:rsidRPr="0027643D">
        <w:rPr>
          <w:rFonts w:ascii="Times New Roman" w:eastAsia="Times New Roman" w:hAnsi="Times New Roman" w:cs="Times New Roman"/>
          <w:sz w:val="20"/>
          <w:szCs w:val="20"/>
          <w:lang w:val="en-US" w:eastAsia="ru-RU"/>
        </w:rPr>
        <w:t>gov</w:t>
      </w:r>
      <w:proofErr w:type="spellEnd"/>
      <w:r w:rsidRPr="0027643D">
        <w:rPr>
          <w:rFonts w:ascii="Times New Roman" w:eastAsia="Times New Roman" w:hAnsi="Times New Roman" w:cs="Times New Roman"/>
          <w:sz w:val="20"/>
          <w:szCs w:val="20"/>
          <w:lang w:eastAsia="ru-RU"/>
        </w:rPr>
        <w:t>.</w:t>
      </w:r>
      <w:proofErr w:type="spellStart"/>
      <w:r w:rsidRPr="0027643D">
        <w:rPr>
          <w:rFonts w:ascii="Times New Roman" w:eastAsia="Times New Roman" w:hAnsi="Times New Roman" w:cs="Times New Roman"/>
          <w:sz w:val="20"/>
          <w:szCs w:val="20"/>
          <w:lang w:val="en-US" w:eastAsia="ru-RU"/>
        </w:rPr>
        <w:t>ru</w:t>
      </w:r>
      <w:proofErr w:type="spellEnd"/>
      <w:r w:rsidRPr="0027643D">
        <w:rPr>
          <w:rFonts w:ascii="Times New Roman" w:eastAsia="Times New Roman" w:hAnsi="Times New Roman" w:cs="Times New Roman"/>
          <w:sz w:val="20"/>
          <w:szCs w:val="20"/>
          <w:lang w:eastAsia="ru-RU"/>
        </w:rPr>
        <w:t>.</w:t>
      </w:r>
      <w:proofErr w:type="gramEnd"/>
      <w:r w:rsidRPr="0027643D">
        <w:rPr>
          <w:rFonts w:ascii="Times New Roman" w:eastAsia="Times New Roman" w:hAnsi="Times New Roman" w:cs="Times New Roman"/>
          <w:sz w:val="20"/>
          <w:szCs w:val="20"/>
          <w:lang w:eastAsia="ru-RU"/>
        </w:rPr>
        <w:t xml:space="preserve"> Плата за получение информации не взимается.</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Ф.И.О. (последнее при наличии) претендента (для граждан);</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наименование (для юридических лиц);</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 о праве на земельный участок, о земельном участке (площадь, адрес (адресный ориентир), срок аренды земельного участка (при продаже </w:t>
      </w:r>
      <w:proofErr w:type="gramStart"/>
      <w:r w:rsidRPr="0027643D">
        <w:rPr>
          <w:rFonts w:ascii="Times New Roman" w:eastAsia="Times New Roman" w:hAnsi="Times New Roman" w:cs="Times New Roman"/>
          <w:sz w:val="20"/>
          <w:szCs w:val="20"/>
          <w:lang w:eastAsia="ru-RU"/>
        </w:rPr>
        <w:t>права заключения договора аренды земельного участка</w:t>
      </w:r>
      <w:proofErr w:type="gramEnd"/>
      <w:r w:rsidRPr="0027643D">
        <w:rPr>
          <w:rFonts w:ascii="Times New Roman" w:eastAsia="Times New Roman" w:hAnsi="Times New Roman" w:cs="Times New Roman"/>
          <w:sz w:val="20"/>
          <w:szCs w:val="20"/>
          <w:lang w:eastAsia="ru-RU"/>
        </w:rPr>
        <w:t>);</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паспортные данные претендента (для граждан);</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адрес регистрации претендента;</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дата заполнения заявки;</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банковские реквизиты счета для возврата задатка;</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о принятии претендентом обязательств, предусмотренных извещением;</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об ознакомлении с условиями проведения торгов.</w:t>
      </w:r>
    </w:p>
    <w:p w:rsidR="0027643D" w:rsidRPr="0027643D" w:rsidRDefault="0027643D" w:rsidP="0027643D">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Для участия в торгах заявители представляют в установленный в извещении о проведении торгов срок следующие документы: </w:t>
      </w:r>
    </w:p>
    <w:p w:rsidR="0027643D" w:rsidRPr="0027643D" w:rsidRDefault="0027643D" w:rsidP="0027643D">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1) заявка на участие в торгах;</w:t>
      </w:r>
    </w:p>
    <w:p w:rsidR="0027643D" w:rsidRPr="0027643D" w:rsidRDefault="0027643D" w:rsidP="0027643D">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2) копии документов, удостоверяющих личность заявителя (для граждан);</w:t>
      </w:r>
    </w:p>
    <w:p w:rsidR="0027643D" w:rsidRPr="0027643D" w:rsidRDefault="0027643D" w:rsidP="0027643D">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643D" w:rsidRPr="0027643D" w:rsidRDefault="0027643D" w:rsidP="0027643D">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Для участия в торгах по лотам заявители вносят задаток по следующим реквизитам:</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Банковский счет: 40102810145370000048</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xml:space="preserve">Казначейский счет:  03232643577080005600 </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Банк получателя: ОТДЕЛЕНИЕ ПЕРМЬ БАНКА РОССИИ//УФК по Пермскому краю г. Пермь</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xml:space="preserve">БИК 015773997 </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Получатель: ИНН 5911000188/КПП 591101001</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xml:space="preserve">ФУАГ Березники (Управление имущественных и земельных отношений  администрации г. Березники, </w:t>
      </w:r>
      <w:proofErr w:type="gramStart"/>
      <w:r w:rsidRPr="0027643D">
        <w:rPr>
          <w:rFonts w:ascii="Times New Roman" w:eastAsia="Times New Roman" w:hAnsi="Times New Roman" w:cs="Times New Roman"/>
          <w:b/>
          <w:sz w:val="20"/>
          <w:szCs w:val="20"/>
          <w:lang w:eastAsia="ru-RU"/>
        </w:rPr>
        <w:t>л</w:t>
      </w:r>
      <w:proofErr w:type="gramEnd"/>
      <w:r w:rsidRPr="0027643D">
        <w:rPr>
          <w:rFonts w:ascii="Times New Roman" w:eastAsia="Times New Roman" w:hAnsi="Times New Roman" w:cs="Times New Roman"/>
          <w:b/>
          <w:sz w:val="20"/>
          <w:szCs w:val="20"/>
          <w:lang w:eastAsia="ru-RU"/>
        </w:rPr>
        <w:t xml:space="preserve">/с 059280012). </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Задаток, перечисленный победителем торгов, засчитывается в счет расчетов по оплате предмета торгов. Задаток участника торгов, не выигравшего торги, возвращается</w:t>
      </w:r>
      <w:r w:rsidRPr="0027643D">
        <w:rPr>
          <w:rFonts w:ascii="Times New Roman" w:eastAsia="Times New Roman" w:hAnsi="Times New Roman" w:cs="Times New Roman"/>
          <w:b/>
          <w:sz w:val="20"/>
          <w:szCs w:val="20"/>
          <w:lang w:eastAsia="ru-RU"/>
        </w:rPr>
        <w:t xml:space="preserve"> </w:t>
      </w:r>
      <w:r w:rsidRPr="0027643D">
        <w:rPr>
          <w:rFonts w:ascii="Times New Roman" w:eastAsia="Times New Roman" w:hAnsi="Times New Roman" w:cs="Times New Roman"/>
          <w:sz w:val="20"/>
          <w:szCs w:val="20"/>
          <w:lang w:eastAsia="ru-RU"/>
        </w:rPr>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заявке на участие в аукционе счет Заявителя.</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Установить для лотов «шаг аукциона» в размере 3 % от начальной цены предмета торгов.</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Особым условием для победителя торгов по лотам и иным лицам, с которыми договор аренды (купли-продажи) заключается в соответствии с </w:t>
      </w:r>
      <w:hyperlink r:id="rId5" w:history="1">
        <w:r w:rsidRPr="0027643D">
          <w:rPr>
            <w:rFonts w:ascii="Times New Roman" w:eastAsia="Times New Roman" w:hAnsi="Times New Roman" w:cs="Times New Roman"/>
            <w:color w:val="0000FF"/>
            <w:sz w:val="20"/>
            <w:szCs w:val="20"/>
            <w:lang w:eastAsia="ru-RU"/>
          </w:rPr>
          <w:t>пунктом 13</w:t>
        </w:r>
      </w:hyperlink>
      <w:r w:rsidRPr="0027643D">
        <w:rPr>
          <w:rFonts w:ascii="Times New Roman" w:eastAsia="Times New Roman" w:hAnsi="Times New Roman" w:cs="Times New Roman"/>
          <w:sz w:val="20"/>
          <w:szCs w:val="20"/>
          <w:lang w:eastAsia="ru-RU"/>
        </w:rPr>
        <w:t xml:space="preserve">, </w:t>
      </w:r>
      <w:hyperlink r:id="rId6" w:history="1">
        <w:r w:rsidRPr="0027643D">
          <w:rPr>
            <w:rFonts w:ascii="Times New Roman" w:eastAsia="Times New Roman" w:hAnsi="Times New Roman" w:cs="Times New Roman"/>
            <w:color w:val="0000FF"/>
            <w:sz w:val="20"/>
            <w:szCs w:val="20"/>
            <w:lang w:eastAsia="ru-RU"/>
          </w:rPr>
          <w:t>14</w:t>
        </w:r>
      </w:hyperlink>
      <w:r w:rsidRPr="0027643D">
        <w:rPr>
          <w:rFonts w:ascii="Times New Roman" w:eastAsia="Times New Roman" w:hAnsi="Times New Roman" w:cs="Times New Roman"/>
          <w:sz w:val="20"/>
          <w:szCs w:val="20"/>
          <w:lang w:eastAsia="ru-RU"/>
        </w:rPr>
        <w:t xml:space="preserve"> или </w:t>
      </w:r>
      <w:hyperlink r:id="rId7" w:history="1">
        <w:r w:rsidRPr="0027643D">
          <w:rPr>
            <w:rFonts w:ascii="Times New Roman" w:eastAsia="Times New Roman" w:hAnsi="Times New Roman" w:cs="Times New Roman"/>
            <w:color w:val="0000FF"/>
            <w:sz w:val="20"/>
            <w:szCs w:val="20"/>
            <w:lang w:eastAsia="ru-RU"/>
          </w:rPr>
          <w:t>20</w:t>
        </w:r>
      </w:hyperlink>
      <w:r w:rsidRPr="0027643D">
        <w:rPr>
          <w:rFonts w:ascii="Times New Roman" w:eastAsia="Times New Roman" w:hAnsi="Times New Roman" w:cs="Times New Roman"/>
          <w:sz w:val="20"/>
          <w:szCs w:val="20"/>
          <w:lang w:eastAsia="ru-RU"/>
        </w:rPr>
        <w:t xml:space="preserve"> статьи 39.12 Земельного кодекса РФ установить:</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 подписание итогового протокола о результатах торгов в день подведения итогов торгов. </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Аукцион проводится в порядке, установленном статьей 39.12 Земельного кодекса РФ. Во время процедуры торгов участники аукциона вправе заявлять цену предмета торгов кратно установленному шагу аукциона (по каждому лоту).</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Критерием выявления победителя по лотам установлен наибольший предложенный размер предмета торгов.</w:t>
      </w:r>
    </w:p>
    <w:p w:rsidR="0027643D" w:rsidRPr="0027643D" w:rsidRDefault="0027643D" w:rsidP="0027643D">
      <w:pPr>
        <w:widowControl w:val="0"/>
        <w:tabs>
          <w:tab w:val="left" w:pos="90"/>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Особо установлено, что размер ежегодной арендной платы за земельный участок может  быть увеличен на основании Федерального Закона РФ, Закона Пермского края, Постановления Правительства РФ, решения </w:t>
      </w:r>
      <w:r w:rsidRPr="0027643D">
        <w:rPr>
          <w:rFonts w:ascii="Times New Roman" w:eastAsia="Times New Roman" w:hAnsi="Times New Roman" w:cs="Times New Roman"/>
          <w:sz w:val="20"/>
          <w:szCs w:val="20"/>
          <w:lang w:eastAsia="ru-RU"/>
        </w:rPr>
        <w:lastRenderedPageBreak/>
        <w:t>субъекта Российской Федерации об индексации ставок арендной платы за землю, но не чаще одного раза в год.</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Извещение по торгам, проводимым в электронной форме:</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p>
    <w:p w:rsidR="0027643D" w:rsidRPr="0027643D" w:rsidRDefault="0027643D" w:rsidP="0027643D">
      <w:pPr>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b/>
          <w:sz w:val="20"/>
          <w:szCs w:val="20"/>
          <w:lang w:eastAsia="ru-RU"/>
        </w:rPr>
        <w:t>Лот № 1.</w:t>
      </w:r>
      <w:r w:rsidRPr="0027643D">
        <w:rPr>
          <w:rFonts w:ascii="Times New Roman" w:eastAsia="Times New Roman" w:hAnsi="Times New Roman" w:cs="Times New Roman"/>
          <w:sz w:val="20"/>
          <w:szCs w:val="20"/>
          <w:lang w:eastAsia="ru-RU"/>
        </w:rPr>
        <w:t xml:space="preserve"> Право заключения договора аренды земельного участка (категория земель – земли населенных пунктов) с кадастровым номером 59:03:0400089:64 площадью 7950 </w:t>
      </w:r>
      <w:proofErr w:type="spellStart"/>
      <w:r w:rsidRPr="0027643D">
        <w:rPr>
          <w:rFonts w:ascii="Times New Roman" w:eastAsia="Times New Roman" w:hAnsi="Times New Roman" w:cs="Times New Roman"/>
          <w:sz w:val="20"/>
          <w:szCs w:val="20"/>
          <w:lang w:eastAsia="ru-RU"/>
        </w:rPr>
        <w:t>кв</w:t>
      </w:r>
      <w:proofErr w:type="gramStart"/>
      <w:r w:rsidRPr="0027643D">
        <w:rPr>
          <w:rFonts w:ascii="Times New Roman" w:eastAsia="Times New Roman" w:hAnsi="Times New Roman" w:cs="Times New Roman"/>
          <w:sz w:val="20"/>
          <w:szCs w:val="20"/>
          <w:lang w:eastAsia="ru-RU"/>
        </w:rPr>
        <w:t>.м</w:t>
      </w:r>
      <w:proofErr w:type="spellEnd"/>
      <w:proofErr w:type="gramEnd"/>
      <w:r w:rsidRPr="0027643D">
        <w:rPr>
          <w:rFonts w:ascii="Times New Roman" w:eastAsia="Times New Roman" w:hAnsi="Times New Roman" w:cs="Times New Roman"/>
          <w:sz w:val="20"/>
          <w:szCs w:val="20"/>
          <w:lang w:eastAsia="ru-RU"/>
        </w:rPr>
        <w:t xml:space="preserve"> для многоквартирного жилищного строительства (вид разрешенного использования – малоэтажная многоквартирная жилая застройка), в г. Березники, ул. Юбилейная, 159. Срок аренды – 5 лет 6 месяцев.</w:t>
      </w:r>
    </w:p>
    <w:p w:rsidR="0027643D" w:rsidRPr="0027643D" w:rsidRDefault="0027643D" w:rsidP="0027643D">
      <w:pPr>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b/>
          <w:sz w:val="20"/>
          <w:szCs w:val="20"/>
          <w:lang w:eastAsia="ru-RU"/>
        </w:rPr>
        <w:t>Начальная цена предмета торгов: размер ежегодной арендной платы за землю – 300000,00 рублей.</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Сумма задатка: 100 % от начальной цены предмета торгов – 300000,00 руб.</w:t>
      </w:r>
    </w:p>
    <w:p w:rsidR="0027643D" w:rsidRPr="0027643D" w:rsidRDefault="0027643D" w:rsidP="0027643D">
      <w:pPr>
        <w:tabs>
          <w:tab w:val="num" w:pos="1128"/>
        </w:tabs>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Дополнительная информация по ограничениям в использовании земельного участка:</w:t>
      </w:r>
    </w:p>
    <w:p w:rsidR="0027643D" w:rsidRPr="0027643D" w:rsidRDefault="0027643D" w:rsidP="0027643D">
      <w:pPr>
        <w:tabs>
          <w:tab w:val="num" w:pos="1128"/>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1. Участок расположен в зоне 2 – над затопленными горными выработками: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1068"/>
        <w:gridCol w:w="2926"/>
        <w:gridCol w:w="2724"/>
        <w:gridCol w:w="2717"/>
      </w:tblGrid>
      <w:tr w:rsidR="0027643D" w:rsidRPr="0027643D" w:rsidTr="00275DE0">
        <w:trPr>
          <w:trHeight w:val="20"/>
        </w:trPr>
        <w:tc>
          <w:tcPr>
            <w:tcW w:w="0" w:type="auto"/>
          </w:tcPr>
          <w:p w:rsidR="0027643D" w:rsidRPr="0027643D" w:rsidRDefault="0027643D" w:rsidP="0027643D">
            <w:pPr>
              <w:spacing w:after="0" w:line="240" w:lineRule="auto"/>
              <w:jc w:val="center"/>
              <w:rPr>
                <w:rFonts w:ascii="Times New Roman" w:eastAsia="Verdana" w:hAnsi="Times New Roman" w:cs="Times New Roman"/>
                <w:b/>
                <w:sz w:val="16"/>
                <w:szCs w:val="16"/>
                <w:lang w:eastAsia="ru-RU"/>
              </w:rPr>
            </w:pPr>
            <w:r w:rsidRPr="0027643D">
              <w:rPr>
                <w:rFonts w:ascii="Times New Roman" w:eastAsia="Verdana" w:hAnsi="Times New Roman" w:cs="Times New Roman"/>
                <w:b/>
                <w:sz w:val="16"/>
                <w:szCs w:val="16"/>
                <w:lang w:eastAsia="ru-RU"/>
              </w:rPr>
              <w:t>Территория (зона)</w:t>
            </w:r>
          </w:p>
        </w:tc>
        <w:tc>
          <w:tcPr>
            <w:tcW w:w="0" w:type="auto"/>
          </w:tcPr>
          <w:p w:rsidR="0027643D" w:rsidRPr="0027643D" w:rsidRDefault="0027643D" w:rsidP="0027643D">
            <w:pPr>
              <w:spacing w:after="0" w:line="240" w:lineRule="auto"/>
              <w:jc w:val="center"/>
              <w:rPr>
                <w:rFonts w:ascii="Times New Roman" w:eastAsia="Verdana" w:hAnsi="Times New Roman" w:cs="Times New Roman"/>
                <w:b/>
                <w:sz w:val="16"/>
                <w:szCs w:val="16"/>
                <w:lang w:eastAsia="ru-RU"/>
              </w:rPr>
            </w:pPr>
            <w:r w:rsidRPr="0027643D">
              <w:rPr>
                <w:rFonts w:ascii="Times New Roman" w:eastAsia="Verdana" w:hAnsi="Times New Roman" w:cs="Times New Roman"/>
                <w:b/>
                <w:sz w:val="16"/>
                <w:szCs w:val="16"/>
                <w:lang w:eastAsia="ru-RU"/>
              </w:rPr>
              <w:t xml:space="preserve">Степень </w:t>
            </w:r>
            <w:r w:rsidRPr="0027643D">
              <w:rPr>
                <w:rFonts w:ascii="Times New Roman" w:eastAsia="Times New Roman" w:hAnsi="Times New Roman" w:cs="Times New Roman"/>
                <w:sz w:val="16"/>
                <w:szCs w:val="16"/>
                <w:lang w:eastAsia="ru-RU"/>
              </w:rPr>
              <w:t xml:space="preserve"> </w:t>
            </w:r>
            <w:r w:rsidRPr="0027643D">
              <w:rPr>
                <w:rFonts w:ascii="Times New Roman" w:eastAsia="Verdana" w:hAnsi="Times New Roman" w:cs="Times New Roman"/>
                <w:b/>
                <w:sz w:val="16"/>
                <w:szCs w:val="16"/>
                <w:lang w:eastAsia="ru-RU"/>
              </w:rPr>
              <w:t>пригодности/непригодности  использования территории (зоны)</w:t>
            </w:r>
          </w:p>
        </w:tc>
        <w:tc>
          <w:tcPr>
            <w:tcW w:w="0" w:type="auto"/>
            <w:gridSpan w:val="2"/>
            <w:shd w:val="clear" w:color="auto" w:fill="auto"/>
          </w:tcPr>
          <w:p w:rsidR="0027643D" w:rsidRPr="0027643D" w:rsidRDefault="0027643D" w:rsidP="0027643D">
            <w:pPr>
              <w:spacing w:after="0" w:line="240" w:lineRule="auto"/>
              <w:jc w:val="center"/>
              <w:rPr>
                <w:rFonts w:ascii="Times New Roman" w:eastAsia="Verdana" w:hAnsi="Times New Roman" w:cs="Times New Roman"/>
                <w:b/>
                <w:sz w:val="16"/>
                <w:szCs w:val="16"/>
                <w:lang w:eastAsia="ru-RU"/>
              </w:rPr>
            </w:pPr>
            <w:r w:rsidRPr="0027643D">
              <w:rPr>
                <w:rFonts w:ascii="Times New Roman" w:eastAsia="Verdana" w:hAnsi="Times New Roman" w:cs="Times New Roman"/>
                <w:b/>
                <w:sz w:val="16"/>
                <w:szCs w:val="16"/>
                <w:lang w:eastAsia="ru-RU"/>
              </w:rPr>
              <w:t xml:space="preserve">Возможность осуществления градостроительной деятельности </w:t>
            </w:r>
          </w:p>
          <w:p w:rsidR="0027643D" w:rsidRPr="0027643D" w:rsidRDefault="0027643D" w:rsidP="0027643D">
            <w:pPr>
              <w:tabs>
                <w:tab w:val="num" w:pos="1128"/>
              </w:tabs>
              <w:spacing w:after="0" w:line="240" w:lineRule="auto"/>
              <w:jc w:val="center"/>
              <w:rPr>
                <w:rFonts w:ascii="Times New Roman" w:eastAsia="Times New Roman" w:hAnsi="Times New Roman" w:cs="Times New Roman"/>
                <w:sz w:val="16"/>
                <w:szCs w:val="16"/>
                <w:lang w:eastAsia="ru-RU"/>
              </w:rPr>
            </w:pPr>
            <w:r w:rsidRPr="0027643D">
              <w:rPr>
                <w:rFonts w:ascii="Times New Roman" w:eastAsia="Verdana" w:hAnsi="Times New Roman" w:cs="Times New Roman"/>
                <w:b/>
                <w:sz w:val="16"/>
                <w:szCs w:val="16"/>
                <w:lang w:eastAsia="ru-RU"/>
              </w:rPr>
              <w:t xml:space="preserve">(строительство, реконструкция) по видам </w:t>
            </w:r>
            <w:r w:rsidRPr="0027643D">
              <w:rPr>
                <w:rFonts w:ascii="Times New Roman" w:eastAsia="Times New Roman" w:hAnsi="Times New Roman" w:cs="Times New Roman"/>
                <w:b/>
                <w:sz w:val="16"/>
                <w:szCs w:val="16"/>
                <w:lang w:eastAsia="ru-RU"/>
              </w:rPr>
              <w:t xml:space="preserve"> объектов капитального строительства</w:t>
            </w:r>
          </w:p>
        </w:tc>
      </w:tr>
      <w:tr w:rsidR="0027643D" w:rsidRPr="0027643D" w:rsidTr="00275DE0">
        <w:trPr>
          <w:trHeight w:val="20"/>
        </w:trPr>
        <w:tc>
          <w:tcPr>
            <w:tcW w:w="0" w:type="auto"/>
          </w:tcPr>
          <w:p w:rsidR="0027643D" w:rsidRPr="0027643D" w:rsidRDefault="0027643D" w:rsidP="0027643D">
            <w:pPr>
              <w:spacing w:after="0" w:line="240" w:lineRule="auto"/>
              <w:jc w:val="center"/>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2</w:t>
            </w:r>
          </w:p>
          <w:p w:rsidR="0027643D" w:rsidRPr="0027643D" w:rsidRDefault="0027643D" w:rsidP="0027643D">
            <w:pPr>
              <w:spacing w:after="0" w:line="240" w:lineRule="auto"/>
              <w:jc w:val="center"/>
              <w:rPr>
                <w:rFonts w:ascii="Times New Roman" w:eastAsia="Verdana" w:hAnsi="Times New Roman" w:cs="Times New Roman"/>
                <w:sz w:val="16"/>
                <w:szCs w:val="16"/>
                <w:lang w:eastAsia="ru-RU"/>
              </w:rPr>
            </w:pPr>
          </w:p>
        </w:tc>
        <w:tc>
          <w:tcPr>
            <w:tcW w:w="0" w:type="auto"/>
          </w:tcPr>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Над затопленными горными выработками</w:t>
            </w:r>
          </w:p>
        </w:tc>
        <w:tc>
          <w:tcPr>
            <w:tcW w:w="0" w:type="auto"/>
            <w:shd w:val="clear" w:color="auto" w:fill="auto"/>
          </w:tcPr>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Разрешена малоэтажная застройка  </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до 3-х этажей включая мансарду </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(3-й этаж только в мансардном исполнении) различной плотности.</w:t>
            </w:r>
          </w:p>
          <w:p w:rsidR="0027643D" w:rsidRPr="0027643D" w:rsidRDefault="0027643D" w:rsidP="0027643D">
            <w:pPr>
              <w:spacing w:after="0" w:line="240" w:lineRule="auto"/>
              <w:rPr>
                <w:rFonts w:ascii="Times New Roman" w:eastAsia="Verdana" w:hAnsi="Times New Roman" w:cs="Times New Roman"/>
                <w:sz w:val="16"/>
                <w:szCs w:val="16"/>
                <w:lang w:eastAsia="ru-RU"/>
              </w:rPr>
            </w:pP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Мониторинг состояния существующих зданий и сооружений. На основании мониторинга либо реконструкция </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с применением КМЗ, либо снос. </w:t>
            </w:r>
          </w:p>
          <w:p w:rsidR="0027643D" w:rsidRPr="0027643D" w:rsidRDefault="0027643D" w:rsidP="0027643D">
            <w:pPr>
              <w:spacing w:after="0" w:line="240" w:lineRule="auto"/>
              <w:rPr>
                <w:rFonts w:ascii="Times New Roman" w:eastAsia="Verdana" w:hAnsi="Times New Roman" w:cs="Times New Roman"/>
                <w:sz w:val="16"/>
                <w:szCs w:val="16"/>
                <w:lang w:eastAsia="ru-RU"/>
              </w:rPr>
            </w:pP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Дальнейшее использование площадей </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для застройки по мере затухания процессов деформации после 2030 года</w:t>
            </w:r>
          </w:p>
          <w:p w:rsidR="0027643D" w:rsidRPr="0027643D" w:rsidRDefault="0027643D" w:rsidP="0027643D">
            <w:pPr>
              <w:spacing w:after="0" w:line="240" w:lineRule="auto"/>
              <w:rPr>
                <w:rFonts w:ascii="Times New Roman" w:eastAsia="Verdana" w:hAnsi="Times New Roman" w:cs="Times New Roman"/>
                <w:sz w:val="16"/>
                <w:szCs w:val="16"/>
                <w:lang w:eastAsia="ru-RU"/>
              </w:rPr>
            </w:pPr>
          </w:p>
        </w:tc>
        <w:tc>
          <w:tcPr>
            <w:tcW w:w="0" w:type="auto"/>
          </w:tcPr>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Разрешено строительство с применением КМЗ при необходимости:</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газопроводы и нефтепроводы </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наземные и надземные; </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водопроводы наземные и надземные; </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теплопроводы надземные, подземные в каналах;</w:t>
            </w:r>
          </w:p>
          <w:p w:rsidR="0027643D" w:rsidRPr="0027643D" w:rsidRDefault="0027643D" w:rsidP="0027643D">
            <w:pPr>
              <w:overflowPunct w:val="0"/>
              <w:autoSpaceDE w:val="0"/>
              <w:autoSpaceDN w:val="0"/>
              <w:adjustRightInd w:val="0"/>
              <w:spacing w:after="0" w:line="240" w:lineRule="auto"/>
              <w:textAlignment w:val="baseline"/>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канализационные сети стальные </w:t>
            </w:r>
          </w:p>
          <w:p w:rsidR="0027643D" w:rsidRPr="0027643D" w:rsidRDefault="0027643D" w:rsidP="0027643D">
            <w:pPr>
              <w:overflowPunct w:val="0"/>
              <w:autoSpaceDE w:val="0"/>
              <w:autoSpaceDN w:val="0"/>
              <w:adjustRightInd w:val="0"/>
              <w:spacing w:after="0" w:line="240" w:lineRule="auto"/>
              <w:textAlignment w:val="baseline"/>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напорные надземные;</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железные дороги III (с ограничением), </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IV, V категорий;</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путепроводы;</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улично-дорожная сеть.</w:t>
            </w:r>
          </w:p>
          <w:p w:rsidR="0027643D" w:rsidRPr="0027643D" w:rsidRDefault="0027643D" w:rsidP="0027643D">
            <w:pPr>
              <w:spacing w:after="0" w:line="240" w:lineRule="auto"/>
              <w:rPr>
                <w:rFonts w:ascii="Times New Roman" w:eastAsia="Verdana" w:hAnsi="Times New Roman" w:cs="Times New Roman"/>
                <w:sz w:val="16"/>
                <w:szCs w:val="16"/>
                <w:lang w:eastAsia="ru-RU"/>
              </w:rPr>
            </w:pP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Строительство только с применением специальных конструктивных мер защиты - все подземные сети. </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Ремонт и реконструкция существующих сетей </w:t>
            </w:r>
          </w:p>
          <w:p w:rsidR="0027643D" w:rsidRPr="0027643D" w:rsidRDefault="0027643D" w:rsidP="0027643D">
            <w:pPr>
              <w:spacing w:after="0" w:line="240" w:lineRule="auto"/>
              <w:rPr>
                <w:rFonts w:ascii="Times New Roman" w:eastAsia="Verdana" w:hAnsi="Times New Roman" w:cs="Times New Roman"/>
                <w:sz w:val="16"/>
                <w:szCs w:val="16"/>
                <w:lang w:eastAsia="ru-RU"/>
              </w:rPr>
            </w:pPr>
            <w:r w:rsidRPr="0027643D">
              <w:rPr>
                <w:rFonts w:ascii="Times New Roman" w:eastAsia="Verdana" w:hAnsi="Times New Roman" w:cs="Times New Roman"/>
                <w:sz w:val="16"/>
                <w:szCs w:val="16"/>
                <w:lang w:eastAsia="ru-RU"/>
              </w:rPr>
              <w:t xml:space="preserve">с применением  конструктивных мер защиты  </w:t>
            </w:r>
          </w:p>
        </w:tc>
      </w:tr>
    </w:tbl>
    <w:p w:rsidR="0027643D" w:rsidRPr="0027643D" w:rsidRDefault="0027643D" w:rsidP="0027643D">
      <w:pPr>
        <w:shd w:val="clear" w:color="auto" w:fill="FFFFFF"/>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2. Части земельного участка площадью 52,34 </w:t>
      </w:r>
      <w:proofErr w:type="spellStart"/>
      <w:r w:rsidRPr="0027643D">
        <w:rPr>
          <w:rFonts w:ascii="Times New Roman" w:eastAsia="Times New Roman" w:hAnsi="Times New Roman" w:cs="Times New Roman"/>
          <w:sz w:val="20"/>
          <w:szCs w:val="20"/>
          <w:lang w:eastAsia="ru-RU"/>
        </w:rPr>
        <w:t>кв</w:t>
      </w:r>
      <w:proofErr w:type="gramStart"/>
      <w:r w:rsidRPr="0027643D">
        <w:rPr>
          <w:rFonts w:ascii="Times New Roman" w:eastAsia="Times New Roman" w:hAnsi="Times New Roman" w:cs="Times New Roman"/>
          <w:sz w:val="20"/>
          <w:szCs w:val="20"/>
          <w:lang w:eastAsia="ru-RU"/>
        </w:rPr>
        <w:t>.м</w:t>
      </w:r>
      <w:proofErr w:type="spellEnd"/>
      <w:proofErr w:type="gramEnd"/>
      <w:r w:rsidRPr="0027643D">
        <w:rPr>
          <w:rFonts w:ascii="Times New Roman" w:eastAsia="Times New Roman" w:hAnsi="Times New Roman" w:cs="Times New Roman"/>
          <w:sz w:val="20"/>
          <w:szCs w:val="20"/>
          <w:lang w:eastAsia="ru-RU"/>
        </w:rPr>
        <w:t xml:space="preserve">, 56 </w:t>
      </w:r>
      <w:proofErr w:type="spellStart"/>
      <w:r w:rsidRPr="0027643D">
        <w:rPr>
          <w:rFonts w:ascii="Times New Roman" w:eastAsia="Times New Roman" w:hAnsi="Times New Roman" w:cs="Times New Roman"/>
          <w:sz w:val="20"/>
          <w:szCs w:val="20"/>
          <w:lang w:eastAsia="ru-RU"/>
        </w:rPr>
        <w:t>кв.м</w:t>
      </w:r>
      <w:proofErr w:type="spellEnd"/>
      <w:r w:rsidRPr="0027643D">
        <w:rPr>
          <w:rFonts w:ascii="Times New Roman" w:eastAsia="Times New Roman" w:hAnsi="Times New Roman" w:cs="Times New Roman"/>
          <w:sz w:val="20"/>
          <w:szCs w:val="20"/>
          <w:lang w:eastAsia="ru-RU"/>
        </w:rPr>
        <w:t xml:space="preserve"> расположены в охранной зоне инженерных коммуникаций (59:03-6.561, 59:03-6.657).</w:t>
      </w:r>
    </w:p>
    <w:p w:rsidR="0027643D" w:rsidRPr="0027643D" w:rsidRDefault="0027643D" w:rsidP="0027643D">
      <w:pPr>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3. Победитель торгов обязуется вынести игровую площадку с места застройки.</w:t>
      </w:r>
    </w:p>
    <w:p w:rsidR="0027643D" w:rsidRPr="0027643D" w:rsidRDefault="0027643D" w:rsidP="0027643D">
      <w:pPr>
        <w:tabs>
          <w:tab w:val="num" w:pos="1128"/>
        </w:tabs>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Предельные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
        <w:gridCol w:w="1520"/>
        <w:gridCol w:w="1765"/>
        <w:gridCol w:w="1459"/>
        <w:gridCol w:w="1565"/>
        <w:gridCol w:w="1189"/>
        <w:gridCol w:w="1441"/>
      </w:tblGrid>
      <w:tr w:rsidR="0027643D" w:rsidRPr="0027643D" w:rsidTr="00275DE0">
        <w:trPr>
          <w:tblHeader/>
        </w:trPr>
        <w:tc>
          <w:tcPr>
            <w:tcW w:w="0" w:type="auto"/>
            <w:vMerge w:val="restart"/>
            <w:tcBorders>
              <w:right w:val="single" w:sz="4" w:space="0" w:color="auto"/>
            </w:tcBorders>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w:t>
            </w:r>
          </w:p>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proofErr w:type="gramStart"/>
            <w:r w:rsidRPr="0027643D">
              <w:rPr>
                <w:rFonts w:ascii="Times New Roman" w:eastAsia="Times New Roman" w:hAnsi="Times New Roman" w:cs="Times New Roman"/>
                <w:b/>
                <w:sz w:val="16"/>
                <w:szCs w:val="16"/>
                <w:lang w:eastAsia="ru-RU"/>
              </w:rPr>
              <w:t>п</w:t>
            </w:r>
            <w:proofErr w:type="gramEnd"/>
            <w:r w:rsidRPr="0027643D">
              <w:rPr>
                <w:rFonts w:ascii="Times New Roman" w:eastAsia="Times New Roman" w:hAnsi="Times New Roman" w:cs="Times New Roman"/>
                <w:b/>
                <w:sz w:val="16"/>
                <w:szCs w:val="16"/>
                <w:lang w:eastAsia="ru-RU"/>
              </w:rPr>
              <w:t>/п</w:t>
            </w:r>
          </w:p>
        </w:tc>
        <w:tc>
          <w:tcPr>
            <w:tcW w:w="0" w:type="auto"/>
            <w:vMerge w:val="restart"/>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 xml:space="preserve">Наименование вида  разрешенного использования земельного участка – </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b/>
                <w:sz w:val="16"/>
                <w:szCs w:val="16"/>
                <w:lang w:eastAsia="ru-RU"/>
              </w:rPr>
              <w:t>код Классификатора</w:t>
            </w:r>
          </w:p>
        </w:tc>
        <w:tc>
          <w:tcPr>
            <w:tcW w:w="0" w:type="auto"/>
            <w:vMerge w:val="restart"/>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 xml:space="preserve">Описание вида </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b/>
                <w:sz w:val="16"/>
                <w:szCs w:val="16"/>
                <w:lang w:eastAsia="ru-RU"/>
              </w:rPr>
              <w:t>разрешенного использования  земельного участка</w:t>
            </w:r>
          </w:p>
        </w:tc>
        <w:tc>
          <w:tcPr>
            <w:tcW w:w="0" w:type="auto"/>
            <w:gridSpan w:val="4"/>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Предельные размеры земельных участков и предельные параметры</w:t>
            </w:r>
          </w:p>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разрешенного строительства, реконструкции объектов капитального строительства</w:t>
            </w:r>
          </w:p>
        </w:tc>
      </w:tr>
      <w:tr w:rsidR="0027643D" w:rsidRPr="0027643D" w:rsidTr="00275DE0">
        <w:trPr>
          <w:tblHeader/>
        </w:trPr>
        <w:tc>
          <w:tcPr>
            <w:tcW w:w="0" w:type="auto"/>
            <w:vMerge/>
            <w:tcBorders>
              <w:right w:val="single" w:sz="4" w:space="0" w:color="auto"/>
            </w:tcBorders>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tc>
        <w:tc>
          <w:tcPr>
            <w:tcW w:w="0" w:type="auto"/>
            <w:vMerge/>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proofErr w:type="gramStart"/>
            <w:r w:rsidRPr="0027643D">
              <w:rPr>
                <w:rFonts w:ascii="Times New Roman" w:eastAsia="Times New Roman" w:hAnsi="Times New Roman" w:cs="Times New Roman"/>
                <w:b/>
                <w:sz w:val="16"/>
                <w:szCs w:val="16"/>
                <w:lang w:eastAsia="ru-RU"/>
              </w:rPr>
              <w:t>предельные (минимальные</w:t>
            </w:r>
            <w:proofErr w:type="gramEnd"/>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b/>
                <w:sz w:val="16"/>
                <w:szCs w:val="16"/>
                <w:lang w:eastAsia="ru-RU"/>
              </w:rPr>
              <w:t>и (или) максимальные) размеры земельных участков, в том числе их площадь</w:t>
            </w:r>
            <w:proofErr w:type="gramStart"/>
            <w:r w:rsidRPr="0027643D">
              <w:rPr>
                <w:rFonts w:ascii="Times New Roman" w:eastAsia="Times New Roman" w:hAnsi="Times New Roman" w:cs="Times New Roman"/>
                <w:b/>
                <w:sz w:val="16"/>
                <w:szCs w:val="16"/>
                <w:vertAlign w:val="superscript"/>
                <w:lang w:eastAsia="ru-RU"/>
              </w:rPr>
              <w:t>1</w:t>
            </w:r>
            <w:proofErr w:type="gramEnd"/>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b/>
                <w:sz w:val="16"/>
                <w:szCs w:val="16"/>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roofErr w:type="gramStart"/>
            <w:r w:rsidRPr="0027643D">
              <w:rPr>
                <w:rFonts w:ascii="Times New Roman" w:eastAsia="Times New Roman" w:hAnsi="Times New Roman" w:cs="Times New Roman"/>
                <w:b/>
                <w:sz w:val="16"/>
                <w:szCs w:val="16"/>
                <w:vertAlign w:val="superscript"/>
                <w:lang w:eastAsia="ru-RU"/>
              </w:rPr>
              <w:t>2</w:t>
            </w:r>
            <w:proofErr w:type="gramEnd"/>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предельное количество этажей</w:t>
            </w:r>
            <w:r w:rsidRPr="0027643D">
              <w:rPr>
                <w:rFonts w:ascii="Times New Roman" w:eastAsia="Times New Roman" w:hAnsi="Times New Roman" w:cs="Times New Roman"/>
                <w:b/>
                <w:sz w:val="16"/>
                <w:szCs w:val="16"/>
                <w:vertAlign w:val="superscript"/>
                <w:lang w:eastAsia="ru-RU"/>
              </w:rPr>
              <w:t>3</w:t>
            </w:r>
            <w:r w:rsidRPr="0027643D">
              <w:rPr>
                <w:rFonts w:ascii="Times New Roman" w:eastAsia="Times New Roman" w:hAnsi="Times New Roman" w:cs="Times New Roman"/>
                <w:b/>
                <w:sz w:val="16"/>
                <w:szCs w:val="16"/>
                <w:lang w:eastAsia="ru-RU"/>
              </w:rPr>
              <w:t xml:space="preserve"> или предельная высота зданий, строений, сооружений</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максимальный процент застройки в границах земельного участка, определяемый</w:t>
            </w:r>
          </w:p>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как отношение суммарной площади земельного участка, которая может быть застроена,</w:t>
            </w:r>
          </w:p>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ко всей площади земельного участка</w:t>
            </w:r>
          </w:p>
        </w:tc>
      </w:tr>
      <w:tr w:rsidR="0027643D" w:rsidRPr="0027643D" w:rsidTr="00275DE0">
        <w:trPr>
          <w:tblHeader/>
        </w:trPr>
        <w:tc>
          <w:tcPr>
            <w:tcW w:w="0" w:type="auto"/>
            <w:tcBorders>
              <w:right w:val="single" w:sz="4" w:space="0" w:color="auto"/>
            </w:tcBorders>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1</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2</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3</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4</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5</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6</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eastAsia="ru-RU"/>
              </w:rPr>
              <w:t>7</w:t>
            </w:r>
          </w:p>
        </w:tc>
      </w:tr>
      <w:tr w:rsidR="0027643D" w:rsidRPr="0027643D" w:rsidTr="00275DE0">
        <w:tc>
          <w:tcPr>
            <w:tcW w:w="0" w:type="auto"/>
            <w:gridSpan w:val="7"/>
            <w:tcBorders>
              <w:right w:val="single" w:sz="4" w:space="0" w:color="auto"/>
            </w:tcBorders>
          </w:tcPr>
          <w:p w:rsidR="0027643D" w:rsidRPr="0027643D" w:rsidRDefault="0027643D" w:rsidP="0027643D">
            <w:pPr>
              <w:spacing w:after="0" w:line="240" w:lineRule="auto"/>
              <w:jc w:val="center"/>
              <w:rPr>
                <w:rFonts w:ascii="Times New Roman" w:eastAsia="Times New Roman" w:hAnsi="Times New Roman" w:cs="Times New Roman"/>
                <w:b/>
                <w:sz w:val="16"/>
                <w:szCs w:val="16"/>
                <w:lang w:eastAsia="ru-RU"/>
              </w:rPr>
            </w:pPr>
            <w:r w:rsidRPr="0027643D">
              <w:rPr>
                <w:rFonts w:ascii="Times New Roman" w:eastAsia="Times New Roman" w:hAnsi="Times New Roman" w:cs="Times New Roman"/>
                <w:b/>
                <w:sz w:val="16"/>
                <w:szCs w:val="16"/>
                <w:lang w:val="en-US" w:eastAsia="ru-RU"/>
              </w:rPr>
              <w:t>II</w:t>
            </w:r>
            <w:r w:rsidRPr="0027643D">
              <w:rPr>
                <w:rFonts w:ascii="Times New Roman" w:eastAsia="Times New Roman" w:hAnsi="Times New Roman" w:cs="Times New Roman"/>
                <w:b/>
                <w:sz w:val="16"/>
                <w:szCs w:val="16"/>
                <w:lang w:eastAsia="ru-RU"/>
              </w:rPr>
              <w:t>.Условно разрешенные виды использования земельных участков и объектов капитального строительства</w:t>
            </w:r>
          </w:p>
        </w:tc>
      </w:tr>
      <w:tr w:rsidR="0027643D" w:rsidRPr="0027643D" w:rsidTr="00275DE0">
        <w:tc>
          <w:tcPr>
            <w:tcW w:w="0" w:type="auto"/>
            <w:tcBorders>
              <w:right w:val="single" w:sz="4" w:space="0" w:color="auto"/>
            </w:tcBorders>
          </w:tcPr>
          <w:p w:rsidR="0027643D" w:rsidRPr="0027643D" w:rsidRDefault="0027643D" w:rsidP="0027643D">
            <w:pPr>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1(1).</w:t>
            </w:r>
          </w:p>
        </w:tc>
        <w:tc>
          <w:tcPr>
            <w:tcW w:w="0" w:type="auto"/>
            <w:tcBorders>
              <w:right w:val="single" w:sz="4" w:space="0" w:color="auto"/>
            </w:tcBorders>
            <w:shd w:val="clear" w:color="auto" w:fill="auto"/>
          </w:tcPr>
          <w:p w:rsidR="0027643D" w:rsidRPr="0027643D" w:rsidRDefault="0027643D" w:rsidP="0027643D">
            <w:pPr>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Малоэтажная многоквартирная жилая застройка – код 2.1.1</w:t>
            </w:r>
          </w:p>
          <w:p w:rsidR="0027643D" w:rsidRPr="0027643D" w:rsidRDefault="0027643D" w:rsidP="0027643D">
            <w:pPr>
              <w:spacing w:after="0" w:line="240" w:lineRule="auto"/>
              <w:rPr>
                <w:rFonts w:ascii="Times New Roman" w:eastAsia="Times New Roman" w:hAnsi="Times New Roman" w:cs="Times New Roman"/>
                <w:sz w:val="16"/>
                <w:szCs w:val="16"/>
                <w:lang w:eastAsia="ru-RU"/>
              </w:rPr>
            </w:pPr>
          </w:p>
        </w:tc>
        <w:tc>
          <w:tcPr>
            <w:tcW w:w="0" w:type="auto"/>
          </w:tcPr>
          <w:p w:rsidR="0027643D" w:rsidRPr="0027643D" w:rsidRDefault="0027643D" w:rsidP="0027643D">
            <w:pPr>
              <w:spacing w:after="0" w:line="240" w:lineRule="auto"/>
              <w:rPr>
                <w:rFonts w:ascii="Times New Roman" w:eastAsia="Times New Roman" w:hAnsi="Times New Roman" w:cs="Times New Roman"/>
                <w:sz w:val="16"/>
                <w:szCs w:val="16"/>
                <w:lang w:eastAsia="ru-RU"/>
              </w:rPr>
            </w:pPr>
            <w:proofErr w:type="gramStart"/>
            <w:r w:rsidRPr="0027643D">
              <w:rPr>
                <w:rFonts w:ascii="Times New Roman" w:eastAsia="Times New Roman" w:hAnsi="Times New Roman" w:cs="Times New Roman"/>
                <w:sz w:val="16"/>
                <w:szCs w:val="16"/>
                <w:lang w:eastAsia="ru-RU"/>
              </w:rPr>
              <w:t xml:space="preserve">Размещение малоэтажных многоквартирных домов (многоквартирные дома высотой </w:t>
            </w:r>
            <w:proofErr w:type="gramEnd"/>
          </w:p>
          <w:p w:rsidR="0027643D" w:rsidRPr="0027643D" w:rsidRDefault="0027643D" w:rsidP="0027643D">
            <w:pPr>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до 4 этажей, включая </w:t>
            </w:r>
            <w:proofErr w:type="gramStart"/>
            <w:r w:rsidRPr="0027643D">
              <w:rPr>
                <w:rFonts w:ascii="Times New Roman" w:eastAsia="Times New Roman" w:hAnsi="Times New Roman" w:cs="Times New Roman"/>
                <w:sz w:val="16"/>
                <w:szCs w:val="16"/>
                <w:lang w:eastAsia="ru-RU"/>
              </w:rPr>
              <w:t>мансардный</w:t>
            </w:r>
            <w:proofErr w:type="gramEnd"/>
            <w:r w:rsidRPr="0027643D">
              <w:rPr>
                <w:rFonts w:ascii="Times New Roman" w:eastAsia="Times New Roman" w:hAnsi="Times New Roman" w:cs="Times New Roman"/>
                <w:sz w:val="16"/>
                <w:szCs w:val="16"/>
                <w:lang w:eastAsia="ru-RU"/>
              </w:rPr>
              <w:t>);</w:t>
            </w:r>
          </w:p>
          <w:p w:rsidR="0027643D" w:rsidRPr="0027643D" w:rsidRDefault="0027643D" w:rsidP="0027643D">
            <w:pPr>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обустройство </w:t>
            </w:r>
            <w:r w:rsidRPr="0027643D">
              <w:rPr>
                <w:rFonts w:ascii="Times New Roman" w:eastAsia="Times New Roman" w:hAnsi="Times New Roman" w:cs="Times New Roman"/>
                <w:sz w:val="16"/>
                <w:szCs w:val="16"/>
                <w:lang w:eastAsia="ru-RU"/>
              </w:rPr>
              <w:lastRenderedPageBreak/>
              <w:t>спортивных и детских площадок, площадок для отдыха;</w:t>
            </w:r>
          </w:p>
          <w:p w:rsidR="0027643D" w:rsidRPr="0027643D" w:rsidRDefault="0027643D" w:rsidP="0027643D">
            <w:pPr>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размещение объектов обслуживания </w:t>
            </w:r>
          </w:p>
          <w:p w:rsidR="0027643D" w:rsidRPr="0027643D" w:rsidRDefault="0027643D" w:rsidP="0027643D">
            <w:pPr>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w:t>
            </w:r>
          </w:p>
          <w:p w:rsidR="0027643D" w:rsidRPr="0027643D" w:rsidRDefault="0027643D" w:rsidP="0027643D">
            <w:pPr>
              <w:spacing w:after="0" w:line="240" w:lineRule="auto"/>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более 15 % общей площади помещений дома</w:t>
            </w:r>
          </w:p>
        </w:tc>
        <w:tc>
          <w:tcPr>
            <w:tcW w:w="0" w:type="auto"/>
            <w:tcBorders>
              <w:right w:val="single" w:sz="4" w:space="0" w:color="auto"/>
            </w:tcBorders>
            <w:shd w:val="clear" w:color="auto" w:fill="auto"/>
          </w:tcPr>
          <w:p w:rsidR="0027643D" w:rsidRPr="0027643D" w:rsidRDefault="0027643D" w:rsidP="0027643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lastRenderedPageBreak/>
              <w:t xml:space="preserve">Минимальная площадь земельного участка – 1 500 </w:t>
            </w:r>
            <w:proofErr w:type="spellStart"/>
            <w:r w:rsidRPr="0027643D">
              <w:rPr>
                <w:rFonts w:ascii="Times New Roman" w:eastAsia="Times New Roman" w:hAnsi="Times New Roman" w:cs="Times New Roman"/>
                <w:sz w:val="16"/>
                <w:szCs w:val="16"/>
                <w:lang w:eastAsia="ru-RU"/>
              </w:rPr>
              <w:t>кв</w:t>
            </w:r>
            <w:proofErr w:type="gramStart"/>
            <w:r w:rsidRPr="0027643D">
              <w:rPr>
                <w:rFonts w:ascii="Times New Roman" w:eastAsia="Times New Roman" w:hAnsi="Times New Roman" w:cs="Times New Roman"/>
                <w:sz w:val="16"/>
                <w:szCs w:val="16"/>
                <w:lang w:eastAsia="ru-RU"/>
              </w:rPr>
              <w:t>.м</w:t>
            </w:r>
            <w:proofErr w:type="spellEnd"/>
            <w:proofErr w:type="gramEnd"/>
            <w:r w:rsidRPr="0027643D">
              <w:rPr>
                <w:rFonts w:ascii="Times New Roman" w:eastAsia="Times New Roman" w:hAnsi="Times New Roman" w:cs="Times New Roman"/>
                <w:sz w:val="16"/>
                <w:szCs w:val="16"/>
                <w:lang w:eastAsia="ru-RU"/>
              </w:rPr>
              <w:t>;</w:t>
            </w:r>
          </w:p>
          <w:p w:rsidR="0027643D" w:rsidRPr="0027643D" w:rsidRDefault="0027643D" w:rsidP="0027643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максимальная площадь земельного участка – </w:t>
            </w:r>
          </w:p>
          <w:p w:rsidR="0027643D" w:rsidRPr="0027643D" w:rsidRDefault="0027643D" w:rsidP="0027643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lastRenderedPageBreak/>
              <w:t>не подлежит установлению</w:t>
            </w:r>
          </w:p>
        </w:tc>
        <w:tc>
          <w:tcPr>
            <w:tcW w:w="0" w:type="auto"/>
            <w:tcBorders>
              <w:right w:val="single" w:sz="4" w:space="0" w:color="auto"/>
            </w:tcBorders>
            <w:shd w:val="clear" w:color="auto" w:fill="auto"/>
          </w:tcPr>
          <w:p w:rsidR="0027643D" w:rsidRPr="0027643D" w:rsidRDefault="0027643D" w:rsidP="0027643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lastRenderedPageBreak/>
              <w:t xml:space="preserve">Минимальный отступ </w:t>
            </w:r>
          </w:p>
          <w:p w:rsidR="0027643D" w:rsidRPr="0027643D" w:rsidRDefault="0027643D" w:rsidP="0027643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от красной линии - 5 м; минимальный отступ </w:t>
            </w:r>
          </w:p>
          <w:p w:rsidR="0027643D" w:rsidRPr="0027643D" w:rsidRDefault="0027643D" w:rsidP="0027643D">
            <w:pPr>
              <w:autoSpaceDE w:val="0"/>
              <w:autoSpaceDN w:val="0"/>
              <w:adjustRightInd w:val="0"/>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от границ смежных земельных участков – 1 м</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 xml:space="preserve">4 </w:t>
            </w:r>
            <w:proofErr w:type="gramStart"/>
            <w:r w:rsidRPr="0027643D">
              <w:rPr>
                <w:rFonts w:ascii="Times New Roman" w:eastAsia="Times New Roman" w:hAnsi="Times New Roman" w:cs="Times New Roman"/>
                <w:sz w:val="16"/>
                <w:szCs w:val="16"/>
                <w:lang w:eastAsia="ru-RU"/>
              </w:rPr>
              <w:t>надземных</w:t>
            </w:r>
            <w:proofErr w:type="gramEnd"/>
            <w:r w:rsidRPr="0027643D">
              <w:rPr>
                <w:rFonts w:ascii="Times New Roman" w:eastAsia="Times New Roman" w:hAnsi="Times New Roman" w:cs="Times New Roman"/>
                <w:sz w:val="16"/>
                <w:szCs w:val="16"/>
                <w:lang w:eastAsia="ru-RU"/>
              </w:rPr>
              <w:t xml:space="preserve"> этажа</w:t>
            </w:r>
          </w:p>
        </w:tc>
        <w:tc>
          <w:tcPr>
            <w:tcW w:w="0" w:type="auto"/>
            <w:tcBorders>
              <w:right w:val="single" w:sz="4" w:space="0" w:color="auto"/>
            </w:tcBorders>
            <w:shd w:val="clear" w:color="auto" w:fill="auto"/>
          </w:tcPr>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r w:rsidRPr="0027643D">
              <w:rPr>
                <w:rFonts w:ascii="Times New Roman" w:eastAsia="Times New Roman" w:hAnsi="Times New Roman" w:cs="Times New Roman"/>
                <w:sz w:val="16"/>
                <w:szCs w:val="16"/>
                <w:lang w:eastAsia="ru-RU"/>
              </w:rPr>
              <w:t>40 %</w:t>
            </w: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p w:rsidR="0027643D" w:rsidRPr="0027643D" w:rsidRDefault="0027643D" w:rsidP="0027643D">
            <w:pPr>
              <w:spacing w:after="0" w:line="240" w:lineRule="auto"/>
              <w:rPr>
                <w:rFonts w:ascii="Times New Roman" w:eastAsia="Times New Roman" w:hAnsi="Times New Roman" w:cs="Times New Roman"/>
                <w:sz w:val="16"/>
                <w:szCs w:val="16"/>
                <w:lang w:eastAsia="ru-RU"/>
              </w:rPr>
            </w:pP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p w:rsidR="0027643D" w:rsidRPr="0027643D" w:rsidRDefault="0027643D" w:rsidP="0027643D">
            <w:pPr>
              <w:spacing w:after="0" w:line="240" w:lineRule="auto"/>
              <w:jc w:val="center"/>
              <w:rPr>
                <w:rFonts w:ascii="Times New Roman" w:eastAsia="Times New Roman" w:hAnsi="Times New Roman" w:cs="Times New Roman"/>
                <w:sz w:val="16"/>
                <w:szCs w:val="16"/>
                <w:highlight w:val="yellow"/>
                <w:lang w:eastAsia="ru-RU"/>
              </w:rPr>
            </w:pPr>
          </w:p>
          <w:p w:rsidR="0027643D" w:rsidRPr="0027643D" w:rsidRDefault="0027643D" w:rsidP="0027643D">
            <w:pPr>
              <w:spacing w:after="0" w:line="240" w:lineRule="auto"/>
              <w:jc w:val="center"/>
              <w:rPr>
                <w:rFonts w:ascii="Times New Roman" w:eastAsia="Times New Roman" w:hAnsi="Times New Roman" w:cs="Times New Roman"/>
                <w:sz w:val="16"/>
                <w:szCs w:val="16"/>
                <w:lang w:eastAsia="ru-RU"/>
              </w:rPr>
            </w:pPr>
          </w:p>
        </w:tc>
      </w:tr>
    </w:tbl>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
          <w:bCs/>
          <w:sz w:val="20"/>
          <w:szCs w:val="20"/>
          <w:lang w:eastAsia="ru-RU"/>
        </w:rPr>
      </w:pPr>
      <w:r w:rsidRPr="0027643D">
        <w:rPr>
          <w:rFonts w:ascii="Times New Roman" w:eastAsia="Times New Roman" w:hAnsi="Times New Roman" w:cs="Times New Roman"/>
          <w:b/>
          <w:bCs/>
          <w:sz w:val="20"/>
          <w:szCs w:val="20"/>
          <w:lang w:eastAsia="ru-RU"/>
        </w:rPr>
        <w:lastRenderedPageBreak/>
        <w:t>Технические условия подключения (технологического присоединения) объекта капитального строительства к сетям инженерно-технического обеспечения:</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1. Технические условия подключения к сетям водоснабжения и водоотведения имеется:</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1.1. предельная свободная мощность – определяется гидравлическим расчетом;</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1.2. максимальное планируемое водоотведение в возможных точках подключения – 0,0 м</w:t>
      </w:r>
      <w:r w:rsidRPr="0027643D">
        <w:rPr>
          <w:rFonts w:ascii="Times New Roman" w:eastAsia="Times New Roman" w:hAnsi="Times New Roman" w:cs="Times New Roman"/>
          <w:bCs/>
          <w:sz w:val="20"/>
          <w:szCs w:val="20"/>
          <w:vertAlign w:val="superscript"/>
          <w:lang w:eastAsia="ru-RU"/>
        </w:rPr>
        <w:t>3</w:t>
      </w:r>
      <w:r w:rsidRPr="0027643D">
        <w:rPr>
          <w:rFonts w:ascii="Times New Roman" w:eastAsia="Times New Roman" w:hAnsi="Times New Roman" w:cs="Times New Roman"/>
          <w:bCs/>
          <w:sz w:val="20"/>
          <w:szCs w:val="20"/>
          <w:lang w:eastAsia="ru-RU"/>
        </w:rPr>
        <w:t>/</w:t>
      </w:r>
      <w:proofErr w:type="spellStart"/>
      <w:r w:rsidRPr="0027643D">
        <w:rPr>
          <w:rFonts w:ascii="Times New Roman" w:eastAsia="Times New Roman" w:hAnsi="Times New Roman" w:cs="Times New Roman"/>
          <w:bCs/>
          <w:sz w:val="20"/>
          <w:szCs w:val="20"/>
          <w:lang w:eastAsia="ru-RU"/>
        </w:rPr>
        <w:t>сут</w:t>
      </w:r>
      <w:proofErr w:type="spellEnd"/>
      <w:r w:rsidRPr="0027643D">
        <w:rPr>
          <w:rFonts w:ascii="Times New Roman" w:eastAsia="Times New Roman" w:hAnsi="Times New Roman" w:cs="Times New Roman"/>
          <w:bCs/>
          <w:sz w:val="20"/>
          <w:szCs w:val="20"/>
          <w:lang w:eastAsia="ru-RU"/>
        </w:rPr>
        <w:t>;</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1.3. максимальное планируемое водопотребление в возможных точках подключения – определяется расчетом при проектировании;</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 xml:space="preserve">1.4. сети водопровода диаметром 400 мм проходят по ул. </w:t>
      </w:r>
      <w:proofErr w:type="gramStart"/>
      <w:r w:rsidRPr="0027643D">
        <w:rPr>
          <w:rFonts w:ascii="Times New Roman" w:eastAsia="Times New Roman" w:hAnsi="Times New Roman" w:cs="Times New Roman"/>
          <w:bCs/>
          <w:sz w:val="20"/>
          <w:szCs w:val="20"/>
          <w:lang w:eastAsia="ru-RU"/>
        </w:rPr>
        <w:t>Комсомольская</w:t>
      </w:r>
      <w:proofErr w:type="gramEnd"/>
      <w:r w:rsidRPr="0027643D">
        <w:rPr>
          <w:rFonts w:ascii="Times New Roman" w:eastAsia="Times New Roman" w:hAnsi="Times New Roman" w:cs="Times New Roman"/>
          <w:bCs/>
          <w:sz w:val="20"/>
          <w:szCs w:val="20"/>
          <w:lang w:eastAsia="ru-RU"/>
        </w:rPr>
        <w:t>;</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 xml:space="preserve">1.5. сети канализации проходят вдоль дома № 3 по ул. </w:t>
      </w:r>
      <w:proofErr w:type="gramStart"/>
      <w:r w:rsidRPr="0027643D">
        <w:rPr>
          <w:rFonts w:ascii="Times New Roman" w:eastAsia="Times New Roman" w:hAnsi="Times New Roman" w:cs="Times New Roman"/>
          <w:bCs/>
          <w:sz w:val="20"/>
          <w:szCs w:val="20"/>
          <w:lang w:eastAsia="ru-RU"/>
        </w:rPr>
        <w:t>Комсомольская</w:t>
      </w:r>
      <w:proofErr w:type="gramEnd"/>
      <w:r w:rsidRPr="0027643D">
        <w:rPr>
          <w:rFonts w:ascii="Times New Roman" w:eastAsia="Times New Roman" w:hAnsi="Times New Roman" w:cs="Times New Roman"/>
          <w:bCs/>
          <w:sz w:val="20"/>
          <w:szCs w:val="20"/>
          <w:lang w:eastAsia="ru-RU"/>
        </w:rPr>
        <w:t>;</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1.6. размер платы за подключение устанавливается органом регулирования тарифов индивидуально в порядке, установленном основами ценообразования в сфере водоснабжения и водоотведения, утвержденном Постановлением Правительства РФ от 13.05.2013 № 406, и Правилами холодного водоснабжения и водоотведения, утвержденными Постановлением Правительства РФ от 29.07.2013 № 644;</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proofErr w:type="gramStart"/>
      <w:r w:rsidRPr="0027643D">
        <w:rPr>
          <w:rFonts w:ascii="Times New Roman" w:eastAsia="Times New Roman" w:hAnsi="Times New Roman" w:cs="Times New Roman"/>
          <w:bCs/>
          <w:sz w:val="20"/>
          <w:szCs w:val="20"/>
          <w:lang w:eastAsia="ru-RU"/>
        </w:rPr>
        <w:t>1.7. срок подключения объекта капитального строительства определяется в договоре подключения, на основании которого в соответствии с Федеральным законом от 07.12.2011 № 416-ФЗ «О водоснабжении и водоотведении», Правилами холодного водоснабжения и водоотведения, утвержденными Постановлением Правительства РФ от 29.07.2013 № 644, Правилами определения и предоставления технических условий подключения объекта капитального строительства к сетям инженерно-технического обеспечения, утвержденными Постановлением Правительства от 13.02.2006 № 83, производится подключение объекта</w:t>
      </w:r>
      <w:proofErr w:type="gramEnd"/>
      <w:r w:rsidRPr="0027643D">
        <w:rPr>
          <w:rFonts w:ascii="Times New Roman" w:eastAsia="Times New Roman" w:hAnsi="Times New Roman" w:cs="Times New Roman"/>
          <w:bCs/>
          <w:sz w:val="20"/>
          <w:szCs w:val="20"/>
          <w:lang w:eastAsia="ru-RU"/>
        </w:rPr>
        <w:t xml:space="preserve"> капитального строительства к централизованным системам холодного водоснабжения и водоотведения;</w:t>
      </w:r>
    </w:p>
    <w:p w:rsidR="0027643D" w:rsidRPr="0027643D" w:rsidRDefault="0027643D" w:rsidP="0027643D">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2. Возможные точки присоединения к тепловым сетям: К-Ж4-18 на тепловой сети 2Ду300 мм; возможная нагрузка в возможных точках подключения: 1,5 Гкал/час. Теплоснабжение указанного объекта не учтено в утвержденной схеме теплоснабжения г. Березники.</w:t>
      </w:r>
    </w:p>
    <w:p w:rsidR="0027643D" w:rsidRPr="0027643D" w:rsidRDefault="0027643D" w:rsidP="0027643D">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3. Возможность подключения к сети газоснабжения:</w:t>
      </w:r>
    </w:p>
    <w:p w:rsidR="0027643D" w:rsidRPr="0027643D" w:rsidRDefault="0027643D" w:rsidP="0027643D">
      <w:pPr>
        <w:tabs>
          <w:tab w:val="left" w:pos="90"/>
        </w:tabs>
        <w:spacing w:after="0" w:line="240" w:lineRule="auto"/>
        <w:ind w:firstLine="284"/>
        <w:jc w:val="both"/>
        <w:rPr>
          <w:rFonts w:ascii="Times New Roman" w:eastAsia="Times New Roman" w:hAnsi="Times New Roman" w:cs="Times New Roman"/>
          <w:sz w:val="20"/>
          <w:szCs w:val="20"/>
          <w:lang w:eastAsia="ru-RU"/>
        </w:rPr>
      </w:pPr>
      <w:proofErr w:type="gramStart"/>
      <w:r w:rsidRPr="0027643D">
        <w:rPr>
          <w:rFonts w:ascii="Times New Roman" w:eastAsia="Times New Roman" w:hAnsi="Times New Roman" w:cs="Times New Roman"/>
          <w:sz w:val="20"/>
          <w:szCs w:val="20"/>
          <w:lang w:eastAsia="ru-RU"/>
        </w:rPr>
        <w:t>3.1. существует от подземного газопровода низкого давления идущего по ул. Комсомольская, Д 159 мм; удаленность точки подключения ≈ 60,0 м по прямой с прохождением газопровода по землям третьих лиц;</w:t>
      </w:r>
      <w:proofErr w:type="gramEnd"/>
    </w:p>
    <w:p w:rsidR="0027643D" w:rsidRPr="0027643D" w:rsidRDefault="0027643D" w:rsidP="0027643D">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3.2. максимальная подключаемая нагрузка на объект – 70,0 м</w:t>
      </w:r>
      <w:r w:rsidRPr="0027643D">
        <w:rPr>
          <w:rFonts w:ascii="Times New Roman" w:eastAsia="Times New Roman" w:hAnsi="Times New Roman" w:cs="Times New Roman"/>
          <w:sz w:val="20"/>
          <w:szCs w:val="20"/>
          <w:vertAlign w:val="superscript"/>
          <w:lang w:eastAsia="ru-RU"/>
        </w:rPr>
        <w:t>3</w:t>
      </w:r>
      <w:r w:rsidRPr="0027643D">
        <w:rPr>
          <w:rFonts w:ascii="Times New Roman" w:eastAsia="Times New Roman" w:hAnsi="Times New Roman" w:cs="Times New Roman"/>
          <w:sz w:val="20"/>
          <w:szCs w:val="20"/>
          <w:lang w:eastAsia="ru-RU"/>
        </w:rPr>
        <w:t>/час;</w:t>
      </w:r>
    </w:p>
    <w:p w:rsidR="0027643D" w:rsidRPr="0027643D" w:rsidRDefault="0027643D" w:rsidP="0027643D">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lastRenderedPageBreak/>
        <w:t>3.3. срок подключения (технологического присоединения) объекта капитального строительства устанавливается индивидуально в соответствии с требованиями п. 53 Правил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w:t>
      </w:r>
    </w:p>
    <w:p w:rsidR="0027643D" w:rsidRPr="0027643D" w:rsidRDefault="0027643D" w:rsidP="0027643D">
      <w:pPr>
        <w:tabs>
          <w:tab w:val="left" w:pos="90"/>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3.4. плата за подключение (технологическое присоединение) – согласно Правилам подключения (технологического присоединения) газоиспользующего оборудования и объектов капитального строительства к сетям газораспределения, утвержденных постановлением Правительства РФ от 13.09.2021 № 1547, устанавливается постановлением РСТ Пермского края.</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4. срок действия технических условий – 3 года.</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Предлагаемые условия:</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 Форма проведения торгов: </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 </w:t>
      </w:r>
      <w:proofErr w:type="gramStart"/>
      <w:r w:rsidRPr="0027643D">
        <w:rPr>
          <w:rFonts w:ascii="Times New Roman" w:eastAsia="Times New Roman" w:hAnsi="Times New Roman" w:cs="Times New Roman"/>
          <w:sz w:val="20"/>
          <w:szCs w:val="20"/>
          <w:lang w:eastAsia="ru-RU"/>
        </w:rPr>
        <w:t>открытый</w:t>
      </w:r>
      <w:proofErr w:type="gramEnd"/>
      <w:r w:rsidRPr="0027643D">
        <w:rPr>
          <w:rFonts w:ascii="Times New Roman" w:eastAsia="Times New Roman" w:hAnsi="Times New Roman" w:cs="Times New Roman"/>
          <w:sz w:val="20"/>
          <w:szCs w:val="20"/>
          <w:lang w:eastAsia="ru-RU"/>
        </w:rPr>
        <w:t xml:space="preserve"> по составу участников аукциона по лоту № 1</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аукцион, открытый по форме подачи предложений по цене предмета торгов</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аукцион проводится в электронной форме</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 </w:t>
      </w:r>
      <w:r w:rsidRPr="0027643D">
        <w:rPr>
          <w:rFonts w:ascii="Times New Roman" w:eastAsia="Times New Roman" w:hAnsi="Times New Roman" w:cs="Times New Roman"/>
          <w:b/>
          <w:sz w:val="20"/>
          <w:szCs w:val="20"/>
          <w:lang w:eastAsia="ru-RU"/>
        </w:rPr>
        <w:t>Дата и время начала приема заявок: 01 апреля 2022 года с 8-30.</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Порядок приема заявок: лично либо через законного представителя</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Срок приема заявок и прилагаемых к ним документов: до 17-30 часов 18 мая 2022 года</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Срок отказа от проведения торгов: до 18.05.2022</w:t>
      </w:r>
    </w:p>
    <w:p w:rsidR="0027643D" w:rsidRPr="0027643D" w:rsidRDefault="0027643D" w:rsidP="0027643D">
      <w:pPr>
        <w:widowControl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xml:space="preserve">- Срок и порядок внесения задатка: </w:t>
      </w:r>
      <w:r w:rsidRPr="0027643D">
        <w:rPr>
          <w:rFonts w:ascii="Times New Roman" w:eastAsia="Times New Roman" w:hAnsi="Times New Roman" w:cs="Times New Roman"/>
          <w:b/>
          <w:bCs/>
          <w:sz w:val="20"/>
          <w:szCs w:val="20"/>
          <w:lang w:eastAsia="ru-RU"/>
        </w:rPr>
        <w:t>Задаток перечисляется на реквизиты  оператора электронной площадки (</w:t>
      </w:r>
      <w:hyperlink r:id="rId8" w:history="1">
        <w:r w:rsidRPr="0027643D">
          <w:rPr>
            <w:rFonts w:ascii="Times New Roman" w:eastAsia="Times New Roman" w:hAnsi="Times New Roman" w:cs="Times New Roman"/>
            <w:b/>
            <w:bCs/>
            <w:color w:val="0000FF"/>
            <w:sz w:val="20"/>
            <w:szCs w:val="20"/>
            <w:u w:val="single"/>
            <w:lang w:eastAsia="ru-RU"/>
          </w:rPr>
          <w:t>http://utp.sberbank-ast.ru/AP/Notice/653/Requisites</w:t>
        </w:r>
      </w:hyperlink>
      <w:r w:rsidRPr="0027643D">
        <w:rPr>
          <w:rFonts w:ascii="Times New Roman" w:eastAsia="Times New Roman" w:hAnsi="Times New Roman" w:cs="Times New Roman"/>
          <w:b/>
          <w:bCs/>
          <w:sz w:val="20"/>
          <w:szCs w:val="20"/>
          <w:lang w:eastAsia="ru-RU"/>
        </w:rPr>
        <w:t>). Н</w:t>
      </w:r>
      <w:r w:rsidRPr="0027643D">
        <w:rPr>
          <w:rFonts w:ascii="Times New Roman" w:eastAsia="Times New Roman" w:hAnsi="Times New Roman" w:cs="Times New Roman"/>
          <w:b/>
          <w:sz w:val="20"/>
          <w:szCs w:val="20"/>
          <w:lang w:eastAsia="ru-RU"/>
        </w:rPr>
        <w:t xml:space="preserve">азначение платежа – задаток для участия в электронном аукционе. Срок внесения задатка, т.е. поступления суммы задатка на счет Оператора: </w:t>
      </w:r>
      <w:r w:rsidRPr="0027643D">
        <w:rPr>
          <w:rFonts w:ascii="Times New Roman" w:eastAsia="Times New Roman" w:hAnsi="Times New Roman" w:cs="Times New Roman"/>
          <w:b/>
          <w:bCs/>
          <w:sz w:val="20"/>
          <w:szCs w:val="20"/>
          <w:lang w:eastAsia="ru-RU"/>
        </w:rPr>
        <w:t>c 01.04.2022 по 22.05.2022.</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Контактный телефон: т. 290-182</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 Дата определения участников торгов, подведения итогов торгов: 23 мая 2022 года в 11-00.</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Срок заключения договора:  не ранее чем через 10 дней с момента подписания протокола о результатах торгов.</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proofErr w:type="gramStart"/>
      <w:r w:rsidRPr="0027643D">
        <w:rPr>
          <w:rFonts w:ascii="Times New Roman" w:eastAsia="Times New Roman" w:hAnsi="Times New Roman" w:cs="Times New Roman"/>
          <w:sz w:val="20"/>
          <w:szCs w:val="20"/>
          <w:lang w:eastAsia="ru-RU"/>
        </w:rPr>
        <w:t>Проект договора аренды (купли-продажи) земельного участка, форму заявки на участие в торгах, соглашение о задатке заявители могут получить в управлении имущественных и земельных отношений администрации города Березники (пр.</w:t>
      </w:r>
      <w:proofErr w:type="gramEnd"/>
      <w:r w:rsidRPr="0027643D">
        <w:rPr>
          <w:rFonts w:ascii="Times New Roman" w:eastAsia="Times New Roman" w:hAnsi="Times New Roman" w:cs="Times New Roman"/>
          <w:sz w:val="20"/>
          <w:szCs w:val="20"/>
          <w:lang w:eastAsia="ru-RU"/>
        </w:rPr>
        <w:t xml:space="preserve"> </w:t>
      </w:r>
      <w:proofErr w:type="gramStart"/>
      <w:r w:rsidRPr="0027643D">
        <w:rPr>
          <w:rFonts w:ascii="Times New Roman" w:eastAsia="Times New Roman" w:hAnsi="Times New Roman" w:cs="Times New Roman"/>
          <w:sz w:val="20"/>
          <w:szCs w:val="20"/>
          <w:lang w:eastAsia="ru-RU"/>
        </w:rPr>
        <w:t xml:space="preserve">Советский, 39) в рабочие дни с понедельника по четверг с 8-30 до 17-30, в пятницу с 8-30 до 16-30, обеденный перерыв с 12-00 до 12-48 либо ознакомиться с проектом договора аренды земельного участка на официальном сайте Российской Федерации в информационно-телекоммуникационной сети "Интернет" </w:t>
      </w:r>
      <w:r w:rsidRPr="0027643D">
        <w:rPr>
          <w:rFonts w:ascii="Times New Roman" w:eastAsia="Times New Roman" w:hAnsi="Times New Roman" w:cs="Times New Roman"/>
          <w:sz w:val="20"/>
          <w:szCs w:val="20"/>
          <w:lang w:val="en-US" w:eastAsia="ru-RU"/>
        </w:rPr>
        <w:t>www</w:t>
      </w:r>
      <w:r w:rsidRPr="0027643D">
        <w:rPr>
          <w:rFonts w:ascii="Times New Roman" w:eastAsia="Times New Roman" w:hAnsi="Times New Roman" w:cs="Times New Roman"/>
          <w:sz w:val="20"/>
          <w:szCs w:val="20"/>
          <w:lang w:eastAsia="ru-RU"/>
        </w:rPr>
        <w:t>.</w:t>
      </w:r>
      <w:proofErr w:type="spellStart"/>
      <w:r w:rsidRPr="0027643D">
        <w:rPr>
          <w:rFonts w:ascii="Times New Roman" w:eastAsia="Times New Roman" w:hAnsi="Times New Roman" w:cs="Times New Roman"/>
          <w:sz w:val="20"/>
          <w:szCs w:val="20"/>
          <w:lang w:val="en-US" w:eastAsia="ru-RU"/>
        </w:rPr>
        <w:t>torgi</w:t>
      </w:r>
      <w:proofErr w:type="spellEnd"/>
      <w:r w:rsidRPr="0027643D">
        <w:rPr>
          <w:rFonts w:ascii="Times New Roman" w:eastAsia="Times New Roman" w:hAnsi="Times New Roman" w:cs="Times New Roman"/>
          <w:sz w:val="20"/>
          <w:szCs w:val="20"/>
          <w:lang w:eastAsia="ru-RU"/>
        </w:rPr>
        <w:t>.</w:t>
      </w:r>
      <w:proofErr w:type="spellStart"/>
      <w:r w:rsidRPr="0027643D">
        <w:rPr>
          <w:rFonts w:ascii="Times New Roman" w:eastAsia="Times New Roman" w:hAnsi="Times New Roman" w:cs="Times New Roman"/>
          <w:sz w:val="20"/>
          <w:szCs w:val="20"/>
          <w:lang w:val="en-US" w:eastAsia="ru-RU"/>
        </w:rPr>
        <w:t>gov</w:t>
      </w:r>
      <w:proofErr w:type="spellEnd"/>
      <w:r w:rsidRPr="0027643D">
        <w:rPr>
          <w:rFonts w:ascii="Times New Roman" w:eastAsia="Times New Roman" w:hAnsi="Times New Roman" w:cs="Times New Roman"/>
          <w:sz w:val="20"/>
          <w:szCs w:val="20"/>
          <w:lang w:eastAsia="ru-RU"/>
        </w:rPr>
        <w:t>.</w:t>
      </w:r>
      <w:proofErr w:type="spellStart"/>
      <w:r w:rsidRPr="0027643D">
        <w:rPr>
          <w:rFonts w:ascii="Times New Roman" w:eastAsia="Times New Roman" w:hAnsi="Times New Roman" w:cs="Times New Roman"/>
          <w:sz w:val="20"/>
          <w:szCs w:val="20"/>
          <w:lang w:val="en-US" w:eastAsia="ru-RU"/>
        </w:rPr>
        <w:t>ru</w:t>
      </w:r>
      <w:proofErr w:type="spellEnd"/>
      <w:r w:rsidRPr="0027643D">
        <w:rPr>
          <w:rFonts w:ascii="Times New Roman" w:eastAsia="Times New Roman" w:hAnsi="Times New Roman" w:cs="Times New Roman"/>
          <w:sz w:val="20"/>
          <w:szCs w:val="20"/>
          <w:lang w:eastAsia="ru-RU"/>
        </w:rPr>
        <w:t>.</w:t>
      </w:r>
      <w:proofErr w:type="gramEnd"/>
      <w:r w:rsidRPr="0027643D">
        <w:rPr>
          <w:rFonts w:ascii="Times New Roman" w:eastAsia="Times New Roman" w:hAnsi="Times New Roman" w:cs="Times New Roman"/>
          <w:sz w:val="20"/>
          <w:szCs w:val="20"/>
          <w:lang w:eastAsia="ru-RU"/>
        </w:rPr>
        <w:t xml:space="preserve"> Плата за получение информации не взимается.</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Заявка на участие в аукционе оформляется в простой письменной форме на имя главы города, подписывается претендентом (его законным представителем) и должна содержать следующую информацию:</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Ф.И.О. (последнее при наличии) претендента (для граждан);</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наименование (для юридических лиц);</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 о праве на земельный участок, о земельном участке (площадь, адрес (адресный ориентир), срок аренды земельного участка (при продаже </w:t>
      </w:r>
      <w:proofErr w:type="gramStart"/>
      <w:r w:rsidRPr="0027643D">
        <w:rPr>
          <w:rFonts w:ascii="Times New Roman" w:eastAsia="Times New Roman" w:hAnsi="Times New Roman" w:cs="Times New Roman"/>
          <w:sz w:val="20"/>
          <w:szCs w:val="20"/>
          <w:lang w:eastAsia="ru-RU"/>
        </w:rPr>
        <w:t>права заключения договора аренды земельного участка</w:t>
      </w:r>
      <w:proofErr w:type="gramEnd"/>
      <w:r w:rsidRPr="0027643D">
        <w:rPr>
          <w:rFonts w:ascii="Times New Roman" w:eastAsia="Times New Roman" w:hAnsi="Times New Roman" w:cs="Times New Roman"/>
          <w:sz w:val="20"/>
          <w:szCs w:val="20"/>
          <w:lang w:eastAsia="ru-RU"/>
        </w:rPr>
        <w:t>);</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паспортные данные претендента (для граждан);</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ИНН, ОГРН, КПП претендента (для юридических лиц), а также информацию о руководителе юридического лица (Ф.И.О. (последнее – при наличии), должность, контактный телефон);</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адрес регистрации претендента;</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дата заполнения заявки;</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банковские реквизиты счета для возврата задатка;</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о принятии претендентом обязательств, предусмотренных извещением;</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об ознакомлении с условиями проведения торгов.</w:t>
      </w:r>
    </w:p>
    <w:p w:rsidR="0027643D" w:rsidRPr="0027643D" w:rsidRDefault="0027643D" w:rsidP="0027643D">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Для участия в торгах заявители представляют в установленный в извещении о проведении торгов срок следующие документы: </w:t>
      </w:r>
    </w:p>
    <w:p w:rsidR="0027643D" w:rsidRPr="0027643D" w:rsidRDefault="0027643D" w:rsidP="0027643D">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1) заявка на участие в торгах;</w:t>
      </w:r>
    </w:p>
    <w:p w:rsidR="0027643D" w:rsidRPr="0027643D" w:rsidRDefault="0027643D" w:rsidP="0027643D">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2) копии документов, удостоверяющих личность заявителя (для граждан);</w:t>
      </w:r>
    </w:p>
    <w:p w:rsidR="0027643D" w:rsidRPr="0027643D" w:rsidRDefault="0027643D" w:rsidP="0027643D">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7643D" w:rsidRPr="0027643D" w:rsidRDefault="0027643D" w:rsidP="0027643D">
      <w:pPr>
        <w:tabs>
          <w:tab w:val="left" w:pos="-993"/>
        </w:tabs>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4) документы, подтверждающие внесение задатка. Представление документов, подтверждающих внесение задатка, признается заключением соглашения о задатке.</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Для участия в торгах по лотам заявители вносят задаток по следующим реквизитам:</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Получатель: АО «Сбербанк-АСТ»</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ИНН 7707308480</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КПП 770401001</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Наименование банка получателя: ПАО «СБЕРБАНК России» г. Москва</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proofErr w:type="gramStart"/>
      <w:r w:rsidRPr="0027643D">
        <w:rPr>
          <w:rFonts w:ascii="Times New Roman" w:eastAsia="Times New Roman" w:hAnsi="Times New Roman" w:cs="Times New Roman"/>
          <w:b/>
          <w:sz w:val="20"/>
          <w:szCs w:val="20"/>
          <w:lang w:eastAsia="ru-RU"/>
        </w:rPr>
        <w:lastRenderedPageBreak/>
        <w:t>р</w:t>
      </w:r>
      <w:proofErr w:type="gramEnd"/>
      <w:r w:rsidRPr="0027643D">
        <w:rPr>
          <w:rFonts w:ascii="Times New Roman" w:eastAsia="Times New Roman" w:hAnsi="Times New Roman" w:cs="Times New Roman"/>
          <w:b/>
          <w:sz w:val="20"/>
          <w:szCs w:val="20"/>
          <w:lang w:eastAsia="ru-RU"/>
        </w:rPr>
        <w:t>/с 40702810300020038047</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БИК 044525225</w:t>
      </w:r>
    </w:p>
    <w:p w:rsidR="0027643D" w:rsidRPr="0027643D" w:rsidRDefault="0027643D" w:rsidP="0027643D">
      <w:pPr>
        <w:spacing w:after="0" w:line="240" w:lineRule="auto"/>
        <w:ind w:firstLine="284"/>
        <w:jc w:val="both"/>
        <w:rPr>
          <w:rFonts w:ascii="Times New Roman" w:eastAsia="Times New Roman" w:hAnsi="Times New Roman" w:cs="Times New Roman"/>
          <w:b/>
          <w:sz w:val="20"/>
          <w:szCs w:val="20"/>
          <w:lang w:eastAsia="ru-RU"/>
        </w:rPr>
      </w:pPr>
      <w:r w:rsidRPr="0027643D">
        <w:rPr>
          <w:rFonts w:ascii="Times New Roman" w:eastAsia="Times New Roman" w:hAnsi="Times New Roman" w:cs="Times New Roman"/>
          <w:b/>
          <w:sz w:val="20"/>
          <w:szCs w:val="20"/>
          <w:lang w:eastAsia="ru-RU"/>
        </w:rPr>
        <w:t>к/с 30101810400000000225</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Задаток, перечисленный победителем торгов, засчитывается в счет расчетов по оплате предмета торгов. Задаток участника торгов, не выигравшего торги, возвращается</w:t>
      </w:r>
      <w:r w:rsidRPr="0027643D">
        <w:rPr>
          <w:rFonts w:ascii="Times New Roman" w:eastAsia="Times New Roman" w:hAnsi="Times New Roman" w:cs="Times New Roman"/>
          <w:b/>
          <w:sz w:val="20"/>
          <w:szCs w:val="20"/>
          <w:lang w:eastAsia="ru-RU"/>
        </w:rPr>
        <w:t xml:space="preserve"> </w:t>
      </w:r>
      <w:r w:rsidRPr="0027643D">
        <w:rPr>
          <w:rFonts w:ascii="Times New Roman" w:eastAsia="Times New Roman" w:hAnsi="Times New Roman" w:cs="Times New Roman"/>
          <w:sz w:val="20"/>
          <w:szCs w:val="20"/>
          <w:lang w:eastAsia="ru-RU"/>
        </w:rPr>
        <w:t>на расчетный счет участника в случаях и в сроки, установленные частью 24 статьи 39.11, частями 7, 11, 18, 21 статьи 39.12  ЗК РФ, путем перечисления суммы внесенного задатка на указанный в заявке на участие в аукционе счет Заявителя.</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Установить для лотов «шаг аукциона» в размере 3 % от начальной цены предмета торгов.</w:t>
      </w:r>
    </w:p>
    <w:p w:rsidR="0027643D" w:rsidRPr="0027643D" w:rsidRDefault="0027643D" w:rsidP="0027643D">
      <w:pPr>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Особым условием для победителя торгов по лотам и иным лицам, с которыми договор аренды (купли-продажи) заключается в соответствии с </w:t>
      </w:r>
      <w:hyperlink r:id="rId9" w:history="1">
        <w:r w:rsidRPr="0027643D">
          <w:rPr>
            <w:rFonts w:ascii="Times New Roman" w:eastAsia="Times New Roman" w:hAnsi="Times New Roman" w:cs="Times New Roman"/>
            <w:color w:val="0000FF"/>
            <w:sz w:val="20"/>
            <w:szCs w:val="20"/>
            <w:lang w:eastAsia="ru-RU"/>
          </w:rPr>
          <w:t>пунктом 13</w:t>
        </w:r>
      </w:hyperlink>
      <w:r w:rsidRPr="0027643D">
        <w:rPr>
          <w:rFonts w:ascii="Times New Roman" w:eastAsia="Times New Roman" w:hAnsi="Times New Roman" w:cs="Times New Roman"/>
          <w:sz w:val="20"/>
          <w:szCs w:val="20"/>
          <w:lang w:eastAsia="ru-RU"/>
        </w:rPr>
        <w:t xml:space="preserve">, </w:t>
      </w:r>
      <w:hyperlink r:id="rId10" w:history="1">
        <w:r w:rsidRPr="0027643D">
          <w:rPr>
            <w:rFonts w:ascii="Times New Roman" w:eastAsia="Times New Roman" w:hAnsi="Times New Roman" w:cs="Times New Roman"/>
            <w:color w:val="0000FF"/>
            <w:sz w:val="20"/>
            <w:szCs w:val="20"/>
            <w:lang w:eastAsia="ru-RU"/>
          </w:rPr>
          <w:t>14</w:t>
        </w:r>
      </w:hyperlink>
      <w:r w:rsidRPr="0027643D">
        <w:rPr>
          <w:rFonts w:ascii="Times New Roman" w:eastAsia="Times New Roman" w:hAnsi="Times New Roman" w:cs="Times New Roman"/>
          <w:sz w:val="20"/>
          <w:szCs w:val="20"/>
          <w:lang w:eastAsia="ru-RU"/>
        </w:rPr>
        <w:t xml:space="preserve"> или </w:t>
      </w:r>
      <w:hyperlink r:id="rId11" w:history="1">
        <w:r w:rsidRPr="0027643D">
          <w:rPr>
            <w:rFonts w:ascii="Times New Roman" w:eastAsia="Times New Roman" w:hAnsi="Times New Roman" w:cs="Times New Roman"/>
            <w:color w:val="0000FF"/>
            <w:sz w:val="20"/>
            <w:szCs w:val="20"/>
            <w:lang w:eastAsia="ru-RU"/>
          </w:rPr>
          <w:t>20</w:t>
        </w:r>
      </w:hyperlink>
      <w:r w:rsidRPr="0027643D">
        <w:rPr>
          <w:rFonts w:ascii="Times New Roman" w:eastAsia="Times New Roman" w:hAnsi="Times New Roman" w:cs="Times New Roman"/>
          <w:sz w:val="20"/>
          <w:szCs w:val="20"/>
          <w:lang w:eastAsia="ru-RU"/>
        </w:rPr>
        <w:t xml:space="preserve"> статьи 39.12 Земельного кодекса РФ установить:</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- 100 % оплату предложенного размера предмета торгов в течение 5 дней после подписания итогового протокола заседания комиссии по продаже земельных участков (прав их аренды);</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 xml:space="preserve">- подписание итогового протокола о результатах торгов в день подведения итогов торгов. </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Аукцион проводится в порядке, установленном статьей 39.12 Земельного кодекса РФ. Во время процедуры торгов участники аукциона вправе заявлять цену предмета торгов кратно установленному шагу аукциона (по каждому лоту).</w:t>
      </w:r>
    </w:p>
    <w:p w:rsidR="0027643D" w:rsidRPr="0027643D" w:rsidRDefault="0027643D" w:rsidP="0027643D">
      <w:pPr>
        <w:widowControl w:val="0"/>
        <w:tabs>
          <w:tab w:val="left" w:pos="-993"/>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Критерием выявления победителя по лотам установлен наибольший предложенный размер предмета торгов.</w:t>
      </w:r>
    </w:p>
    <w:p w:rsidR="0027643D" w:rsidRPr="0027643D" w:rsidRDefault="0027643D" w:rsidP="0027643D">
      <w:pPr>
        <w:widowControl w:val="0"/>
        <w:tabs>
          <w:tab w:val="left" w:pos="90"/>
        </w:tabs>
        <w:autoSpaceDE w:val="0"/>
        <w:autoSpaceDN w:val="0"/>
        <w:adjustRightInd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Особо установлено, что размер ежегодной арендной платы за земельный участок может  быть увеличен на основании Федерального Закона РФ, Закона Пермского края, Постановления Правительства РФ, решения субъекта Российской Федерации об индексации ставок арендной платы за землю, но не чаще одного раза в год.</w:t>
      </w:r>
    </w:p>
    <w:p w:rsidR="0027643D" w:rsidRPr="0027643D" w:rsidRDefault="0027643D" w:rsidP="0027643D">
      <w:pPr>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Аукцион проводится в электронной форме (далее – аукцион) в соответствии с регламентом электронной площадки http://utp.sberbank-ast.ru.</w:t>
      </w:r>
    </w:p>
    <w:p w:rsidR="0027643D" w:rsidRPr="0027643D" w:rsidRDefault="0027643D" w:rsidP="0027643D">
      <w:pPr>
        <w:widowControl w:val="0"/>
        <w:spacing w:after="0" w:line="240" w:lineRule="auto"/>
        <w:ind w:firstLine="284"/>
        <w:jc w:val="both"/>
        <w:rPr>
          <w:rFonts w:ascii="Times New Roman" w:eastAsia="Times New Roman" w:hAnsi="Times New Roman" w:cs="Times New Roman"/>
          <w:color w:val="FF6600"/>
          <w:sz w:val="20"/>
          <w:szCs w:val="20"/>
          <w:shd w:val="clear" w:color="auto" w:fill="FFFFFF"/>
          <w:lang w:eastAsia="ru-RU"/>
        </w:rPr>
      </w:pPr>
      <w:r w:rsidRPr="0027643D">
        <w:rPr>
          <w:rFonts w:ascii="Times New Roman" w:eastAsia="Times New Roman" w:hAnsi="Times New Roman" w:cs="Times New Roman"/>
          <w:b/>
          <w:color w:val="000000"/>
          <w:sz w:val="20"/>
          <w:szCs w:val="20"/>
          <w:lang w:eastAsia="ru-RU"/>
        </w:rPr>
        <w:t>Сайт в сети «Интернет», на котором будет проводиться аукцион:</w:t>
      </w:r>
      <w:r w:rsidRPr="0027643D">
        <w:rPr>
          <w:rFonts w:ascii="Times New Roman" w:eastAsia="Times New Roman" w:hAnsi="Times New Roman" w:cs="Times New Roman"/>
          <w:color w:val="000000"/>
          <w:sz w:val="20"/>
          <w:szCs w:val="20"/>
          <w:lang w:eastAsia="ru-RU"/>
        </w:rPr>
        <w:t xml:space="preserve"> </w:t>
      </w:r>
      <w:r w:rsidRPr="0027643D">
        <w:rPr>
          <w:rFonts w:ascii="Times New Roman" w:eastAsia="Times New Roman" w:hAnsi="Times New Roman" w:cs="Times New Roman"/>
          <w:sz w:val="20"/>
          <w:szCs w:val="20"/>
          <w:lang w:eastAsia="ru-RU"/>
        </w:rPr>
        <w:t xml:space="preserve">http://utp.sberbank-ast.ru. </w:t>
      </w:r>
      <w:r w:rsidRPr="0027643D">
        <w:rPr>
          <w:rFonts w:ascii="Times New Roman" w:eastAsia="Times New Roman" w:hAnsi="Times New Roman" w:cs="Times New Roman"/>
          <w:color w:val="000000"/>
          <w:sz w:val="20"/>
          <w:szCs w:val="20"/>
          <w:lang w:eastAsia="ru-RU"/>
        </w:rPr>
        <w:t xml:space="preserve">(далее – электронная площадка) (торговая секция «Приватизация, аренда и продажа прав»). </w:t>
      </w:r>
    </w:p>
    <w:p w:rsidR="0027643D" w:rsidRPr="0027643D" w:rsidRDefault="0027643D" w:rsidP="0027643D">
      <w:pPr>
        <w:widowControl w:val="0"/>
        <w:spacing w:after="0" w:line="240" w:lineRule="auto"/>
        <w:ind w:firstLine="284"/>
        <w:jc w:val="both"/>
        <w:rPr>
          <w:rFonts w:ascii="Times New Roman" w:eastAsia="Times New Roman" w:hAnsi="Times New Roman" w:cs="Times New Roman"/>
          <w:color w:val="000000"/>
          <w:sz w:val="20"/>
          <w:szCs w:val="20"/>
          <w:lang w:eastAsia="ru-RU"/>
        </w:rPr>
      </w:pPr>
      <w:r w:rsidRPr="0027643D">
        <w:rPr>
          <w:rFonts w:ascii="Times New Roman" w:eastAsia="Times New Roman" w:hAnsi="Times New Roman" w:cs="Times New Roman"/>
          <w:b/>
          <w:color w:val="000000"/>
          <w:sz w:val="20"/>
          <w:szCs w:val="20"/>
          <w:lang w:eastAsia="ru-RU"/>
        </w:rPr>
        <w:t>Владелец электронной площадки:</w:t>
      </w:r>
      <w:r w:rsidRPr="0027643D">
        <w:rPr>
          <w:rFonts w:ascii="Times New Roman" w:eastAsia="Times New Roman" w:hAnsi="Times New Roman" w:cs="Times New Roman"/>
          <w:sz w:val="20"/>
          <w:szCs w:val="20"/>
          <w:lang w:eastAsia="ru-RU"/>
        </w:rPr>
        <w:t xml:space="preserve"> АО «Сбербанк-АСТ»</w:t>
      </w:r>
      <w:r w:rsidRPr="0027643D">
        <w:rPr>
          <w:rFonts w:ascii="Times New Roman" w:eastAsia="Times New Roman" w:hAnsi="Times New Roman" w:cs="Times New Roman"/>
          <w:color w:val="000000"/>
          <w:sz w:val="20"/>
          <w:szCs w:val="20"/>
          <w:lang w:eastAsia="ru-RU"/>
        </w:rPr>
        <w:t xml:space="preserve"> (далее – Оператор). </w:t>
      </w:r>
    </w:p>
    <w:p w:rsidR="0027643D" w:rsidRPr="0027643D" w:rsidRDefault="0027643D" w:rsidP="0027643D">
      <w:pPr>
        <w:widowControl w:val="0"/>
        <w:spacing w:after="0" w:line="240" w:lineRule="auto"/>
        <w:ind w:firstLine="284"/>
        <w:jc w:val="both"/>
        <w:rPr>
          <w:rFonts w:ascii="Times New Roman" w:eastAsia="Times New Roman" w:hAnsi="Times New Roman" w:cs="Times New Roman"/>
          <w:sz w:val="20"/>
          <w:szCs w:val="20"/>
          <w:lang w:eastAsia="ru-RU"/>
        </w:rPr>
      </w:pPr>
      <w:r w:rsidRPr="0027643D">
        <w:rPr>
          <w:rFonts w:ascii="Times New Roman" w:eastAsia="Times New Roman" w:hAnsi="Times New Roman" w:cs="Times New Roman"/>
          <w:color w:val="000000"/>
          <w:sz w:val="20"/>
          <w:szCs w:val="20"/>
          <w:lang w:eastAsia="ru-RU"/>
        </w:rPr>
        <w:t xml:space="preserve">Контактная информация по Оператору: адрес </w:t>
      </w:r>
      <w:r w:rsidRPr="0027643D">
        <w:rPr>
          <w:rFonts w:ascii="Times New Roman" w:eastAsia="Times New Roman" w:hAnsi="Times New Roman" w:cs="Times New Roman"/>
          <w:sz w:val="20"/>
          <w:szCs w:val="20"/>
          <w:lang w:eastAsia="ru-RU"/>
        </w:rPr>
        <w:t>местонахождения: 119180, г. Москва, ул. Большая Якиманка, д. 23</w:t>
      </w:r>
    </w:p>
    <w:p w:rsidR="0027643D" w:rsidRPr="0027643D" w:rsidRDefault="0027643D" w:rsidP="0027643D">
      <w:pPr>
        <w:spacing w:after="0" w:line="240" w:lineRule="auto"/>
        <w:ind w:firstLine="284"/>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контактный телефон: 7 (495) 787-29-97,  7 (495) 787-29-99</w:t>
      </w:r>
    </w:p>
    <w:p w:rsidR="0027643D" w:rsidRPr="0027643D" w:rsidRDefault="0027643D" w:rsidP="0027643D">
      <w:pPr>
        <w:spacing w:after="0" w:line="240" w:lineRule="auto"/>
        <w:ind w:firstLine="284"/>
        <w:rPr>
          <w:rFonts w:ascii="Times New Roman" w:eastAsia="Times New Roman" w:hAnsi="Times New Roman" w:cs="Times New Roman"/>
          <w:sz w:val="20"/>
          <w:szCs w:val="20"/>
          <w:lang w:eastAsia="ru-RU"/>
        </w:rPr>
      </w:pPr>
      <w:r w:rsidRPr="0027643D">
        <w:rPr>
          <w:rFonts w:ascii="Times New Roman" w:eastAsia="Times New Roman" w:hAnsi="Times New Roman" w:cs="Times New Roman"/>
          <w:sz w:val="20"/>
          <w:szCs w:val="20"/>
          <w:lang w:eastAsia="ru-RU"/>
        </w:rPr>
        <w:t>адрес электронной почты: property@sberbank-ast.ru, company@sberbank-ast.ru</w:t>
      </w:r>
    </w:p>
    <w:p w:rsidR="0027643D" w:rsidRPr="0027643D" w:rsidRDefault="0027643D" w:rsidP="0027643D">
      <w:p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
          <w:sz w:val="20"/>
          <w:szCs w:val="20"/>
          <w:lang w:eastAsia="ru-RU"/>
        </w:rPr>
        <w:t xml:space="preserve">Продавец: </w:t>
      </w:r>
      <w:r w:rsidRPr="0027643D">
        <w:rPr>
          <w:rFonts w:ascii="Times New Roman" w:eastAsia="Times New Roman" w:hAnsi="Times New Roman" w:cs="Times New Roman"/>
          <w:sz w:val="20"/>
          <w:szCs w:val="20"/>
          <w:lang w:eastAsia="ru-RU"/>
        </w:rPr>
        <w:t xml:space="preserve">Управление имущественных и земельных отношений администрации города Березники </w:t>
      </w:r>
      <w:r w:rsidRPr="0027643D">
        <w:rPr>
          <w:rFonts w:ascii="Times New Roman" w:eastAsia="Times New Roman" w:hAnsi="Times New Roman" w:cs="Times New Roman"/>
          <w:bCs/>
          <w:sz w:val="20"/>
          <w:szCs w:val="20"/>
          <w:lang w:eastAsia="ru-RU"/>
        </w:rPr>
        <w:t xml:space="preserve">(618417, Пермский край,  г. Березники, пл. </w:t>
      </w:r>
      <w:proofErr w:type="gramStart"/>
      <w:r w:rsidRPr="0027643D">
        <w:rPr>
          <w:rFonts w:ascii="Times New Roman" w:eastAsia="Times New Roman" w:hAnsi="Times New Roman" w:cs="Times New Roman"/>
          <w:bCs/>
          <w:sz w:val="20"/>
          <w:szCs w:val="20"/>
          <w:lang w:eastAsia="ru-RU"/>
        </w:rPr>
        <w:t>Советская</w:t>
      </w:r>
      <w:proofErr w:type="gramEnd"/>
      <w:r w:rsidRPr="0027643D">
        <w:rPr>
          <w:rFonts w:ascii="Times New Roman" w:eastAsia="Times New Roman" w:hAnsi="Times New Roman" w:cs="Times New Roman"/>
          <w:bCs/>
          <w:sz w:val="20"/>
          <w:szCs w:val="20"/>
          <w:lang w:eastAsia="ru-RU"/>
        </w:rPr>
        <w:t xml:space="preserve"> д.1), сайт </w:t>
      </w:r>
      <w:r w:rsidRPr="0027643D">
        <w:rPr>
          <w:rFonts w:ascii="Times New Roman" w:eastAsia="Times New Roman" w:hAnsi="Times New Roman" w:cs="Times New Roman"/>
          <w:sz w:val="20"/>
          <w:szCs w:val="20"/>
          <w:lang w:val="en-US" w:eastAsia="ru-RU"/>
        </w:rPr>
        <w:t>www</w:t>
      </w:r>
      <w:r w:rsidRPr="0027643D">
        <w:rPr>
          <w:rFonts w:ascii="Times New Roman" w:eastAsia="Times New Roman" w:hAnsi="Times New Roman" w:cs="Times New Roman"/>
          <w:sz w:val="20"/>
          <w:szCs w:val="20"/>
          <w:lang w:eastAsia="ru-RU"/>
        </w:rPr>
        <w:t>.</w:t>
      </w:r>
      <w:proofErr w:type="spellStart"/>
      <w:r w:rsidRPr="0027643D">
        <w:rPr>
          <w:rFonts w:ascii="Times New Roman" w:eastAsia="Times New Roman" w:hAnsi="Times New Roman" w:cs="Times New Roman"/>
          <w:sz w:val="20"/>
          <w:szCs w:val="20"/>
          <w:lang w:val="en-US" w:eastAsia="ru-RU"/>
        </w:rPr>
        <w:t>admbrk</w:t>
      </w:r>
      <w:proofErr w:type="spellEnd"/>
      <w:r w:rsidRPr="0027643D">
        <w:rPr>
          <w:rFonts w:ascii="Times New Roman" w:eastAsia="Times New Roman" w:hAnsi="Times New Roman" w:cs="Times New Roman"/>
          <w:sz w:val="20"/>
          <w:szCs w:val="20"/>
          <w:lang w:eastAsia="ru-RU"/>
        </w:rPr>
        <w:t>.</w:t>
      </w:r>
      <w:proofErr w:type="spellStart"/>
      <w:r w:rsidRPr="0027643D">
        <w:rPr>
          <w:rFonts w:ascii="Times New Roman" w:eastAsia="Times New Roman" w:hAnsi="Times New Roman" w:cs="Times New Roman"/>
          <w:sz w:val="20"/>
          <w:szCs w:val="20"/>
          <w:lang w:val="en-US" w:eastAsia="ru-RU"/>
        </w:rPr>
        <w:t>ru</w:t>
      </w:r>
      <w:proofErr w:type="spellEnd"/>
      <w:r w:rsidRPr="0027643D">
        <w:rPr>
          <w:rFonts w:ascii="Times New Roman" w:eastAsia="Times New Roman" w:hAnsi="Times New Roman" w:cs="Times New Roman"/>
          <w:sz w:val="20"/>
          <w:szCs w:val="20"/>
          <w:lang w:eastAsia="ru-RU"/>
        </w:rPr>
        <w:t>,</w:t>
      </w:r>
      <w:r w:rsidRPr="0027643D">
        <w:rPr>
          <w:rFonts w:ascii="Times New Roman" w:eastAsia="Times New Roman" w:hAnsi="Times New Roman" w:cs="Times New Roman"/>
          <w:bCs/>
          <w:sz w:val="20"/>
          <w:szCs w:val="20"/>
          <w:lang w:eastAsia="ru-RU"/>
        </w:rPr>
        <w:t xml:space="preserve"> адрес электронной почты </w:t>
      </w:r>
      <w:proofErr w:type="spellStart"/>
      <w:r w:rsidRPr="0027643D">
        <w:rPr>
          <w:rFonts w:ascii="Times New Roman" w:eastAsia="Times New Roman" w:hAnsi="Times New Roman" w:cs="Times New Roman"/>
          <w:b/>
          <w:sz w:val="20"/>
          <w:szCs w:val="20"/>
          <w:lang w:val="en-US" w:eastAsia="ru-RU"/>
        </w:rPr>
        <w:t>zhuravleva</w:t>
      </w:r>
      <w:proofErr w:type="spellEnd"/>
      <w:r w:rsidRPr="0027643D">
        <w:rPr>
          <w:rFonts w:ascii="Times New Roman" w:eastAsia="Times New Roman" w:hAnsi="Times New Roman" w:cs="Times New Roman"/>
          <w:b/>
          <w:sz w:val="20"/>
          <w:szCs w:val="20"/>
          <w:lang w:eastAsia="ru-RU"/>
        </w:rPr>
        <w:t>_</w:t>
      </w:r>
      <w:r w:rsidRPr="0027643D">
        <w:rPr>
          <w:rFonts w:ascii="Times New Roman" w:eastAsia="Times New Roman" w:hAnsi="Times New Roman" w:cs="Times New Roman"/>
          <w:b/>
          <w:sz w:val="20"/>
          <w:szCs w:val="20"/>
          <w:lang w:val="en-US" w:eastAsia="ru-RU"/>
        </w:rPr>
        <w:t>e</w:t>
      </w:r>
      <w:r w:rsidRPr="0027643D">
        <w:rPr>
          <w:rFonts w:ascii="Times New Roman" w:eastAsia="Times New Roman" w:hAnsi="Times New Roman" w:cs="Times New Roman"/>
          <w:b/>
          <w:sz w:val="20"/>
          <w:szCs w:val="20"/>
          <w:lang w:eastAsia="ru-RU"/>
        </w:rPr>
        <w:t>@</w:t>
      </w:r>
      <w:proofErr w:type="spellStart"/>
      <w:r w:rsidRPr="0027643D">
        <w:rPr>
          <w:rFonts w:ascii="Times New Roman" w:eastAsia="Times New Roman" w:hAnsi="Times New Roman" w:cs="Times New Roman"/>
          <w:b/>
          <w:sz w:val="20"/>
          <w:szCs w:val="20"/>
          <w:lang w:val="en-US" w:eastAsia="ru-RU"/>
        </w:rPr>
        <w:t>berezniki</w:t>
      </w:r>
      <w:proofErr w:type="spellEnd"/>
      <w:r w:rsidRPr="0027643D">
        <w:rPr>
          <w:rFonts w:ascii="Times New Roman" w:eastAsia="Times New Roman" w:hAnsi="Times New Roman" w:cs="Times New Roman"/>
          <w:b/>
          <w:sz w:val="20"/>
          <w:szCs w:val="20"/>
          <w:lang w:eastAsia="ru-RU"/>
        </w:rPr>
        <w:t>.</w:t>
      </w:r>
      <w:r w:rsidRPr="0027643D">
        <w:rPr>
          <w:rFonts w:ascii="Times New Roman" w:eastAsia="Times New Roman" w:hAnsi="Times New Roman" w:cs="Times New Roman"/>
          <w:b/>
          <w:sz w:val="20"/>
          <w:szCs w:val="20"/>
          <w:lang w:val="en-US" w:eastAsia="ru-RU"/>
        </w:rPr>
        <w:t>perm</w:t>
      </w:r>
      <w:r w:rsidRPr="0027643D">
        <w:rPr>
          <w:rFonts w:ascii="Times New Roman" w:eastAsia="Times New Roman" w:hAnsi="Times New Roman" w:cs="Times New Roman"/>
          <w:b/>
          <w:sz w:val="20"/>
          <w:szCs w:val="20"/>
          <w:lang w:eastAsia="ru-RU"/>
        </w:rPr>
        <w:t>.</w:t>
      </w:r>
      <w:proofErr w:type="spellStart"/>
      <w:r w:rsidRPr="0027643D">
        <w:rPr>
          <w:rFonts w:ascii="Times New Roman" w:eastAsia="Times New Roman" w:hAnsi="Times New Roman" w:cs="Times New Roman"/>
          <w:b/>
          <w:sz w:val="20"/>
          <w:szCs w:val="20"/>
          <w:lang w:val="en-US" w:eastAsia="ru-RU"/>
        </w:rPr>
        <w:t>ru</w:t>
      </w:r>
      <w:proofErr w:type="spellEnd"/>
      <w:r w:rsidRPr="0027643D">
        <w:rPr>
          <w:rFonts w:ascii="Times New Roman" w:eastAsia="Times New Roman" w:hAnsi="Times New Roman" w:cs="Times New Roman"/>
          <w:bCs/>
          <w:sz w:val="20"/>
          <w:szCs w:val="20"/>
          <w:lang w:eastAsia="ru-RU"/>
        </w:rPr>
        <w:t>, телефон: 8 (3424) 29 01 82.</w:t>
      </w:r>
    </w:p>
    <w:p w:rsidR="0027643D" w:rsidRPr="0027643D" w:rsidRDefault="0027643D" w:rsidP="0027643D">
      <w:p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Инструкция по работе в торговой секции «Приватизация, аренда и продажа прав» электронной площадки  http://utp.sberbank-ast.ru  размещена по адресу:  http://utp.sberbank-ast.ru/AP/Notice/652/Instructions.</w:t>
      </w:r>
    </w:p>
    <w:p w:rsidR="0027643D" w:rsidRPr="0027643D" w:rsidRDefault="0027643D" w:rsidP="0027643D">
      <w:p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proofErr w:type="gramStart"/>
      <w:r w:rsidRPr="0027643D">
        <w:rPr>
          <w:rFonts w:ascii="Times New Roman" w:eastAsia="Times New Roman" w:hAnsi="Times New Roman" w:cs="Times New Roman"/>
          <w:bCs/>
          <w:sz w:val="20"/>
          <w:szCs w:val="20"/>
          <w:lang w:eastAsia="ru-RU"/>
        </w:rPr>
        <w:t>Документооборот между претендентами, участниками, Оператором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r w:rsidRPr="0027643D">
        <w:rPr>
          <w:rFonts w:ascii="Times New Roman" w:eastAsia="Times New Roman" w:hAnsi="Times New Roman" w:cs="Times New Roman"/>
          <w:bCs/>
          <w:sz w:val="20"/>
          <w:szCs w:val="20"/>
          <w:lang w:eastAsia="ru-RU"/>
        </w:rPr>
        <w:t xml:space="preserve">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Организатора и отправитель несет ответственность за подлинность и достоверность таких документов и сведений.</w:t>
      </w:r>
    </w:p>
    <w:p w:rsidR="0027643D" w:rsidRPr="0027643D" w:rsidRDefault="0027643D" w:rsidP="0027643D">
      <w:pPr>
        <w:tabs>
          <w:tab w:val="left" w:pos="709"/>
        </w:tabs>
        <w:autoSpaceDE w:val="0"/>
        <w:autoSpaceDN w:val="0"/>
        <w:adjustRightInd w:val="0"/>
        <w:spacing w:after="0" w:line="240" w:lineRule="auto"/>
        <w:ind w:firstLine="284"/>
        <w:jc w:val="both"/>
        <w:rPr>
          <w:rFonts w:ascii="Times New Roman" w:eastAsia="Times New Roman" w:hAnsi="Times New Roman" w:cs="Times New Roman"/>
          <w:bCs/>
          <w:sz w:val="20"/>
          <w:szCs w:val="20"/>
          <w:lang w:eastAsia="ru-RU"/>
        </w:rPr>
      </w:pPr>
      <w:r w:rsidRPr="0027643D">
        <w:rPr>
          <w:rFonts w:ascii="Times New Roman" w:eastAsia="Times New Roman" w:hAnsi="Times New Roman" w:cs="Times New Roman"/>
          <w:bCs/>
          <w:sz w:val="20"/>
          <w:szCs w:val="20"/>
          <w:lang w:eastAsia="ru-RU"/>
        </w:rPr>
        <w:t>Для организации электронного документооборота претендент должен получить электронную подпись. На электронной площадке http://utp.sberbank-ast.ru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 круга лиц части электронной площадки (далее – открытая часть электронной площадки).</w:t>
      </w:r>
    </w:p>
    <w:p w:rsidR="006E58FF" w:rsidRDefault="0027643D">
      <w:bookmarkStart w:id="0" w:name="_GoBack"/>
      <w:bookmarkEnd w:id="0"/>
    </w:p>
    <w:sectPr w:rsidR="006E58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7BD"/>
    <w:rsid w:val="0027643D"/>
    <w:rsid w:val="00932446"/>
    <w:rsid w:val="009B47BD"/>
    <w:rsid w:val="00B160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AP/Notice/653/Requisit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7E97A8441A4509A07AD91C76415DDBC35DED2859DE81B4CA345B3ABAE976A666CCAD11B5AD34D3184B534C405D581D8B5D1FA90D89G6WDJ"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7E97A8441A4509A07AD91C76415DDBC35DED2859DE81B4CA345B3ABAE976A666CCAD11B4A436D3184B534C405D581D8B5D1FA90D89G6WDJ" TargetMode="External"/><Relationship Id="rId11" Type="http://schemas.openxmlformats.org/officeDocument/2006/relationships/hyperlink" Target="consultantplus://offline/ref=7E97A8441A4509A07AD91C76415DDBC35DED2859DE81B4CA345B3ABAE976A666CCAD11B5AD34D3184B534C405D581D8B5D1FA90D89G6WDJ" TargetMode="External"/><Relationship Id="rId5" Type="http://schemas.openxmlformats.org/officeDocument/2006/relationships/hyperlink" Target="consultantplus://offline/ref=7E97A8441A4509A07AD91C76415DDBC35DED2859DE81B4CA345B3ABAE976A666CCAD11B4A53FD3184B534C405D581D8B5D1FA90D89G6WDJ" TargetMode="External"/><Relationship Id="rId10" Type="http://schemas.openxmlformats.org/officeDocument/2006/relationships/hyperlink" Target="consultantplus://offline/ref=7E97A8441A4509A07AD91C76415DDBC35DED2859DE81B4CA345B3ABAE976A666CCAD11B4A436D3184B534C405D581D8B5D1FA90D89G6WDJ" TargetMode="External"/><Relationship Id="rId4" Type="http://schemas.openxmlformats.org/officeDocument/2006/relationships/webSettings" Target="webSettings.xml"/><Relationship Id="rId9" Type="http://schemas.openxmlformats.org/officeDocument/2006/relationships/hyperlink" Target="consultantplus://offline/ref=7E97A8441A4509A07AD91C76415DDBC35DED2859DE81B4CA345B3ABAE976A666CCAD11B4A53FD3184B534C405D581D8B5D1FA90D89G6W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3899</Words>
  <Characters>22229</Characters>
  <Application>Microsoft Office Word</Application>
  <DocSecurity>0</DocSecurity>
  <Lines>185</Lines>
  <Paragraphs>52</Paragraphs>
  <ScaleCrop>false</ScaleCrop>
  <Company/>
  <LinksUpToDate>false</LinksUpToDate>
  <CharactersWithSpaces>26076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Митрофанова Екатерина Юрьевна</dc:creator>
  <cp:keywords/>
  <dc:description/>
  <cp:lastModifiedBy>Митрофанова Екатерина Юрьевна</cp:lastModifiedBy>
  <cp:revision>2</cp:revision>
  <dcterms:created xsi:type="dcterms:W3CDTF">2022-03-29T06:29:00Z</dcterms:created>
  <dcterms:modified xsi:type="dcterms:W3CDTF">2022-03-29T06:29:00Z</dcterms:modified>
</cp:coreProperties>
</file>