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4" w:rsidRPr="00195BC1" w:rsidRDefault="00090DF4" w:rsidP="00090DF4">
      <w:pPr>
        <w:pStyle w:val="a3"/>
        <w:ind w:firstLine="284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090DF4" w:rsidRPr="00195BC1" w:rsidRDefault="00090DF4" w:rsidP="00090DF4">
      <w:pPr>
        <w:pStyle w:val="a3"/>
        <w:ind w:firstLine="284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090DF4" w:rsidRPr="00195BC1" w:rsidRDefault="00090DF4" w:rsidP="00090DF4">
      <w:pPr>
        <w:ind w:firstLine="284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на основании решений заседания комиссии по продаже земельных участков и прав их аренды </w:t>
      </w:r>
    </w:p>
    <w:p w:rsidR="00090DF4" w:rsidRPr="00195BC1" w:rsidRDefault="00090DF4" w:rsidP="00090DF4">
      <w:pPr>
        <w:ind w:firstLine="284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>29 августа 2022</w:t>
      </w:r>
      <w:r w:rsidRPr="00195BC1">
        <w:rPr>
          <w:b/>
          <w:sz w:val="20"/>
          <w:szCs w:val="20"/>
        </w:rPr>
        <w:t xml:space="preserve"> года</w:t>
      </w:r>
    </w:p>
    <w:p w:rsidR="00090DF4" w:rsidRPr="00195BC1" w:rsidRDefault="00090DF4" w:rsidP="00090DF4">
      <w:pPr>
        <w:ind w:firstLine="284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сообщает о проведении торгов по продаже прав на земельные участки</w:t>
      </w:r>
    </w:p>
    <w:p w:rsidR="00090DF4" w:rsidRPr="00195BC1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195BC1" w:rsidRDefault="00090DF4" w:rsidP="00090DF4">
      <w:pPr>
        <w:ind w:firstLine="284"/>
        <w:jc w:val="both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Для продажи на торгах предлагаются следующие лоты:</w:t>
      </w:r>
    </w:p>
    <w:p w:rsidR="00090DF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Извещение по торгам, проводимым в очной форме:</w:t>
      </w:r>
    </w:p>
    <w:p w:rsidR="00090DF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Лот № 1.</w:t>
      </w:r>
      <w:r w:rsidRPr="004A270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59:37:0040101:67 пл</w:t>
      </w:r>
      <w:r w:rsidRPr="004A2704">
        <w:rPr>
          <w:sz w:val="20"/>
        </w:rPr>
        <w:t>о</w:t>
      </w:r>
      <w:r w:rsidRPr="004A2704">
        <w:rPr>
          <w:sz w:val="20"/>
        </w:rPr>
        <w:t>щадью 1000 кв.м для ведения личного подсобного хозяйства по адресу: муниципальное образование «Город Березники» Пермского края, д. Левино, ул. Васильковая, 10а. Срок аренды – 20 лет.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</w:t>
      </w:r>
      <w:r>
        <w:rPr>
          <w:b/>
          <w:sz w:val="20"/>
        </w:rPr>
        <w:t>0 000,00</w:t>
      </w:r>
      <w:r w:rsidRPr="004A2704">
        <w:rPr>
          <w:b/>
          <w:sz w:val="20"/>
        </w:rPr>
        <w:t xml:space="preserve"> рублей</w:t>
      </w:r>
      <w:r w:rsidRPr="004A2704">
        <w:rPr>
          <w:sz w:val="20"/>
        </w:rPr>
        <w:t>.</w:t>
      </w:r>
    </w:p>
    <w:p w:rsidR="00090DF4" w:rsidRPr="004A2704" w:rsidRDefault="00090DF4" w:rsidP="00090DF4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</w:t>
      </w:r>
      <w:r>
        <w:rPr>
          <w:b/>
          <w:sz w:val="20"/>
        </w:rPr>
        <w:t>0</w:t>
      </w:r>
      <w:r w:rsidRPr="004A2704">
        <w:rPr>
          <w:b/>
          <w:sz w:val="20"/>
        </w:rPr>
        <w:t> </w:t>
      </w:r>
      <w:r>
        <w:rPr>
          <w:b/>
          <w:sz w:val="20"/>
        </w:rPr>
        <w:t>000</w:t>
      </w:r>
      <w:r w:rsidRPr="004A2704">
        <w:rPr>
          <w:b/>
          <w:sz w:val="20"/>
        </w:rPr>
        <w:t>,</w:t>
      </w:r>
      <w:r>
        <w:rPr>
          <w:b/>
          <w:sz w:val="20"/>
        </w:rPr>
        <w:t>00</w:t>
      </w:r>
      <w:r w:rsidRPr="004A2704">
        <w:rPr>
          <w:b/>
          <w:sz w:val="20"/>
        </w:rPr>
        <w:t xml:space="preserve"> руб.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Дополнительная информация по ограничению в использовании земельного участка: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участок расположен в границах зон с особыми условиями – прибрежная защитная полоса малых рек, впадающих в Камское водохранилище (59:37-6.541), водоохранная зона малых рек, впадающих в Камское водохранилище (59:37-6.552).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73"/>
        <w:gridCol w:w="1972"/>
        <w:gridCol w:w="1640"/>
        <w:gridCol w:w="2024"/>
        <w:gridCol w:w="1339"/>
        <w:gridCol w:w="1885"/>
      </w:tblGrid>
      <w:tr w:rsidR="00090DF4" w:rsidRPr="004A2704" w:rsidTr="00E54711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Описание вида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в том числе их площадь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4A27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</w:t>
            </w:r>
            <w:r w:rsidRPr="004A2704">
              <w:rPr>
                <w:b/>
                <w:sz w:val="16"/>
                <w:szCs w:val="16"/>
                <w:vertAlign w:val="superscript"/>
              </w:rPr>
              <w:t>3</w:t>
            </w:r>
            <w:r w:rsidRPr="004A2704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7</w:t>
            </w:r>
          </w:p>
        </w:tc>
      </w:tr>
      <w:tr w:rsidR="00090DF4" w:rsidRPr="004A2704" w:rsidTr="00E54711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pStyle w:val="a5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0DF4" w:rsidRPr="004A2704" w:rsidTr="00E54711"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Для ведения личного подсобного хозяйства (приусадебный земельный участок) – код 2.2</w:t>
            </w:r>
          </w:p>
        </w:tc>
        <w:tc>
          <w:tcPr>
            <w:tcW w:w="0" w:type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Размещение жилого дома, указанного в описании вида разрешенного использования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с кодом 2.1 Классификатора;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производство сельскохозяйственной продукции;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Минимальная площадь земельного участка4 –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400 кв. м;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максимальная площадь земельного участка –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3 500 кв. м;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минимальная ширина вновь образуемых земельных участков вдоль фронтона улицы (проезда) -18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Минимальный отступ от объекта капитального строительства и подсобных сооружений до красной линии улиц - 3 м; минимальное расстояние от объекта капитального строительства до границ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смежных земельных участков - 3 м; минимальный отступ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от объекта капитального строительства и подсобных сооружений до красной линии проездов – 3 м; минимальное расстояние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для жилого дома - количество надземных этажей не более чем 3, высота –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не более 20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20 %</w:t>
            </w:r>
          </w:p>
        </w:tc>
      </w:tr>
    </w:tbl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Примечание: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</w:t>
      </w:r>
      <w:r w:rsidRPr="004A2704">
        <w:rPr>
          <w:sz w:val="20"/>
          <w:szCs w:val="20"/>
        </w:rPr>
        <w:lastRenderedPageBreak/>
        <w:t xml:space="preserve">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 </w:t>
      </w:r>
    </w:p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4.Не устанавливаются для земельных участков, образуемых и изменяемых земельных участков,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 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Возможность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Возможность подключения к централизованным сетям водоснабжения, водоотведения, теплоснабжения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отсутствует.</w:t>
      </w:r>
    </w:p>
    <w:p w:rsidR="00090DF4" w:rsidRPr="004A2704" w:rsidRDefault="00090DF4" w:rsidP="00090DF4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2. Возможность подключения к сети газоснабжения в рамках догазификации отсутствует, так как в границах населенного пункта п. Лысьва нет сетей газораспределения и не осуществляется транспортировка газа;</w:t>
      </w:r>
    </w:p>
    <w:p w:rsidR="00090DF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2</w:t>
      </w:r>
      <w:r w:rsidRPr="004A2704">
        <w:rPr>
          <w:b/>
          <w:bCs/>
          <w:sz w:val="20"/>
        </w:rPr>
        <w:t>.</w:t>
      </w:r>
      <w:r w:rsidRPr="004A2704">
        <w:rPr>
          <w:bCs/>
          <w:sz w:val="20"/>
        </w:rPr>
        <w:t xml:space="preserve"> </w:t>
      </w:r>
      <w:r w:rsidRPr="004A270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4A2704">
        <w:rPr>
          <w:sz w:val="20"/>
        </w:rPr>
        <w:t>о</w:t>
      </w:r>
      <w:r w:rsidRPr="004A2704">
        <w:rPr>
          <w:sz w:val="20"/>
        </w:rPr>
        <w:t>щадью 2500 кв.м для индивидуального жилищного строительства по адресу: муниципальное образование «Город Березники» Пермского края, п. Лемзер, ул. Карла Маркса, з/у 10 . Срок аренды – 20 лет.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10 000,00 рублей</w:t>
      </w:r>
      <w:r w:rsidRPr="004A2704">
        <w:rPr>
          <w:sz w:val="20"/>
        </w:rPr>
        <w:t>.</w:t>
      </w:r>
    </w:p>
    <w:p w:rsidR="00090DF4" w:rsidRPr="004A2704" w:rsidRDefault="00090DF4" w:rsidP="00090DF4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10 000,00 руб.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83"/>
        <w:gridCol w:w="2249"/>
        <w:gridCol w:w="1742"/>
        <w:gridCol w:w="1937"/>
        <w:gridCol w:w="1275"/>
        <w:gridCol w:w="1749"/>
      </w:tblGrid>
      <w:tr w:rsidR="00090DF4" w:rsidRPr="004A2704" w:rsidTr="00E54711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Описание вида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в том числе их площадь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4A27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</w:t>
            </w:r>
            <w:r w:rsidRPr="004A2704">
              <w:rPr>
                <w:b/>
                <w:sz w:val="16"/>
                <w:szCs w:val="16"/>
                <w:vertAlign w:val="superscript"/>
              </w:rPr>
              <w:t>3</w:t>
            </w:r>
            <w:r w:rsidRPr="004A2704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7</w:t>
            </w:r>
          </w:p>
        </w:tc>
      </w:tr>
      <w:tr w:rsidR="00090DF4" w:rsidRPr="004A2704" w:rsidTr="00E54711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pStyle w:val="a5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0DF4" w:rsidRPr="004A2704" w:rsidTr="00E54711"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Для индивидуального жилищного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строительства – код 2.1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Размещение жилого дома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(отдельно стоящего здания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количеством надземных этажей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не более чем три, высотой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не более двадцати метров,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для раздела на самостоятельные объекты недвижимости);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выращивание сельскохозяйственных культур;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размещение гаражей для собственных нужд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и хозяйственных построек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Минимальная площадь земельного участка</w:t>
            </w:r>
            <w:r w:rsidRPr="004A2704">
              <w:rPr>
                <w:sz w:val="16"/>
                <w:szCs w:val="16"/>
                <w:vertAlign w:val="superscript"/>
              </w:rPr>
              <w:t>4</w:t>
            </w:r>
            <w:r w:rsidRPr="004A2704">
              <w:rPr>
                <w:sz w:val="16"/>
                <w:szCs w:val="16"/>
              </w:rPr>
              <w:t xml:space="preserve"> – 400 кв.м;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максимальная площадь земельного участка – 2500 кв.м;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минимальная ширина вновь образуемых земельных участков вдоль фронтона улицы (проезда/переулка) - 18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Минимальное расстояние от объекта капитального строительства и подсобных сооружений до красной линии </w:t>
            </w:r>
          </w:p>
          <w:p w:rsidR="00090DF4" w:rsidRPr="004A2704" w:rsidRDefault="00090DF4" w:rsidP="00E54711">
            <w:pPr>
              <w:jc w:val="center"/>
            </w:pPr>
            <w:r w:rsidRPr="004A2704">
              <w:rPr>
                <w:sz w:val="16"/>
                <w:szCs w:val="16"/>
              </w:rPr>
              <w:t>улиц – 3 м;</w:t>
            </w:r>
            <w:r w:rsidRPr="004A2704">
              <w:t xml:space="preserve">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минимальное расстояние от объекта капитального строительства и подсобных сооружений до красной линии проездов - 3 м;</w:t>
            </w:r>
            <w:r w:rsidRPr="004A2704">
              <w:t xml:space="preserve"> </w:t>
            </w:r>
            <w:r w:rsidRPr="004A2704">
              <w:rPr>
                <w:sz w:val="16"/>
                <w:szCs w:val="16"/>
              </w:rPr>
              <w:t xml:space="preserve">минимальное расстояние от объекта капитального строительства до границ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смежных земельных участков - 3 м;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для жилого дома - количество надземных этажей не более чем 3, высота – не более 20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20 %</w:t>
            </w:r>
          </w:p>
        </w:tc>
      </w:tr>
    </w:tbl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Примечание: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lastRenderedPageBreak/>
        <w:t xml:space="preserve"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 </w:t>
      </w:r>
    </w:p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4.Не устанавливаются для земельных участков, образуемых и изменяемых земельных участков,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 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90DF4" w:rsidRPr="004A2704" w:rsidRDefault="00090DF4" w:rsidP="00090DF4">
      <w:pPr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Возможность подключения к централизованным сетям газоснабжения, водоподведения, водоотведения, теплоснабжения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отсутствует;</w:t>
      </w:r>
    </w:p>
    <w:p w:rsidR="00090DF4" w:rsidRPr="004A2704" w:rsidRDefault="00090DF4" w:rsidP="00090DF4">
      <w:pPr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2. водоснабжение населения п. Лемзер осуществляется из нецентрализованного источника водоснабжения – скважина (трубчатый колодец).</w:t>
      </w:r>
    </w:p>
    <w:p w:rsidR="00090DF4" w:rsidRDefault="00090DF4" w:rsidP="00090DF4">
      <w:pPr>
        <w:ind w:firstLine="284"/>
        <w:jc w:val="both"/>
        <w:rPr>
          <w:b/>
          <w:bCs/>
          <w:sz w:val="20"/>
          <w:szCs w:val="20"/>
        </w:rPr>
      </w:pP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3</w:t>
      </w:r>
      <w:r w:rsidRPr="004A2704">
        <w:rPr>
          <w:b/>
          <w:bCs/>
          <w:sz w:val="20"/>
        </w:rPr>
        <w:t>.</w:t>
      </w:r>
      <w:r w:rsidRPr="004A2704">
        <w:rPr>
          <w:bCs/>
          <w:sz w:val="20"/>
        </w:rPr>
        <w:t xml:space="preserve"> </w:t>
      </w:r>
      <w:r w:rsidRPr="004A270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4A2704">
        <w:rPr>
          <w:sz w:val="20"/>
        </w:rPr>
        <w:t>о</w:t>
      </w:r>
      <w:r w:rsidRPr="004A2704">
        <w:rPr>
          <w:sz w:val="20"/>
        </w:rPr>
        <w:t>щадью 1100 кв.м для индивидуального жилищного строительства по адресу: муниципальное образование «Город Березники» Пермского края, п. Лемзер, ул. Лесная, з/у 2 . Срок аренды – 20 лет.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10 000,00 рублей</w:t>
      </w:r>
      <w:r w:rsidRPr="004A2704">
        <w:rPr>
          <w:sz w:val="20"/>
        </w:rPr>
        <w:t>.</w:t>
      </w:r>
    </w:p>
    <w:p w:rsidR="00090DF4" w:rsidRPr="004A2704" w:rsidRDefault="00090DF4" w:rsidP="00090DF4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10 000,00 руб.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Дополнительная информация по ограничению в использовании земельного участка: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участок расположен в границах зон с особыми условиями – охранная зона ВЛ-0,4 кВ ТП-476 ф.1 (59:37-6.646);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2. на участок установлен публичный сервитут для ВЛ-0,4 кВ.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83"/>
        <w:gridCol w:w="2249"/>
        <w:gridCol w:w="1742"/>
        <w:gridCol w:w="1937"/>
        <w:gridCol w:w="1275"/>
        <w:gridCol w:w="1749"/>
      </w:tblGrid>
      <w:tr w:rsidR="00090DF4" w:rsidRPr="004A2704" w:rsidTr="00E54711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Описание вида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предельные (минимальные и (или) максимальные) размеры земельных участков,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в том числе их площадь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минимальные отступы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от границ земельных участков в целях определения мест допустимого размещения зданий, строений, сооружений,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за пределами которых запрещено строительство зданий, строений, сооружений</w:t>
            </w:r>
            <w:r w:rsidRPr="004A27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</w:t>
            </w:r>
            <w:r w:rsidRPr="004A2704">
              <w:rPr>
                <w:b/>
                <w:sz w:val="16"/>
                <w:szCs w:val="16"/>
                <w:vertAlign w:val="superscript"/>
              </w:rPr>
              <w:t>3</w:t>
            </w:r>
            <w:r w:rsidRPr="004A2704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максимальный процент застройки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7</w:t>
            </w:r>
          </w:p>
        </w:tc>
      </w:tr>
      <w:tr w:rsidR="00090DF4" w:rsidRPr="004A2704" w:rsidTr="00E54711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pStyle w:val="a5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0DF4" w:rsidRPr="004A2704" w:rsidTr="00E54711"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Для индивидуального жилищного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строительства – код 2.1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Размещение жилого дома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(отдельно стоящего здания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количеством надземных этажей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не более чем три, высотой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не более двадцати метров,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для раздела на </w:t>
            </w:r>
            <w:r w:rsidRPr="004A2704">
              <w:rPr>
                <w:sz w:val="16"/>
                <w:szCs w:val="16"/>
              </w:rPr>
              <w:lastRenderedPageBreak/>
              <w:t>самостоятельные объекты недвижимости);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выращивание сельскохозяйственных культур;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размещение гаражей для собственных нужд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и хозяйственных построек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lastRenderedPageBreak/>
              <w:t>Минимальная площадь земельного участка</w:t>
            </w:r>
            <w:r w:rsidRPr="004A2704">
              <w:rPr>
                <w:sz w:val="16"/>
                <w:szCs w:val="16"/>
                <w:vertAlign w:val="superscript"/>
              </w:rPr>
              <w:t>4</w:t>
            </w:r>
            <w:r w:rsidRPr="004A2704">
              <w:rPr>
                <w:sz w:val="16"/>
                <w:szCs w:val="16"/>
              </w:rPr>
              <w:t xml:space="preserve"> – 400 кв.м;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максимальная площадь земельного участка – 2500 кв.м;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минимальная ширина вновь образуемых земельных участков вдоль фронтона улицы (проезда/переулка) - 18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Минимальное расстояние от объекта капитального строительства и подсобных сооружений до красной линии </w:t>
            </w:r>
          </w:p>
          <w:p w:rsidR="00090DF4" w:rsidRPr="004A2704" w:rsidRDefault="00090DF4" w:rsidP="00E54711">
            <w:pPr>
              <w:jc w:val="center"/>
            </w:pPr>
            <w:r w:rsidRPr="004A2704">
              <w:rPr>
                <w:sz w:val="16"/>
                <w:szCs w:val="16"/>
              </w:rPr>
              <w:t>улиц – 3 м;</w:t>
            </w:r>
            <w:r w:rsidRPr="004A2704">
              <w:t xml:space="preserve">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минимальное расстояние от объекта капитального строительства и подсобных сооружений до красной линии проездов - 3 м;</w:t>
            </w:r>
            <w:r w:rsidRPr="004A2704">
              <w:t xml:space="preserve"> </w:t>
            </w:r>
            <w:r w:rsidRPr="004A2704">
              <w:rPr>
                <w:sz w:val="16"/>
                <w:szCs w:val="16"/>
              </w:rPr>
              <w:t xml:space="preserve">минимальное расстояние от объекта капитального строительства до границ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смежных земельных </w:t>
            </w:r>
            <w:r w:rsidRPr="004A2704">
              <w:rPr>
                <w:sz w:val="16"/>
                <w:szCs w:val="16"/>
              </w:rPr>
              <w:lastRenderedPageBreak/>
              <w:t>участков - 3 м;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минимальное расстояние от вспомогательных построек (парников, навесов, стационарной емкости для воды, навеса для автомобиля, индивидуального гаража, погреба, уборной, бань, саун и др.) до границы смежного участка -1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lastRenderedPageBreak/>
              <w:t>для жилого дома - количество надземных этажей не более чем 3, высота – не более 20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20 %</w:t>
            </w:r>
          </w:p>
        </w:tc>
      </w:tr>
    </w:tbl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lastRenderedPageBreak/>
        <w:t xml:space="preserve">Примечание: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1.Предельные (минимальные и (или) максимальные) размеры земельных участков, в том числе их площадь, применяются исключительно при образовании и изменении земельных участков. Не применяются для ранее учтенных земельных участков, внесенных в Единый государственный реестр недвижимости до 01.03.2008, в случае, если их уточняемая или изменяемая площадь составляет менее минимального установленного размера либо более максимального установленного размера.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2.Минимальные отступы от границ земельных участков в целях определения мест допустимого размещения объектов капитального строительства, за пределами которых запрещено строительство объектов капитального строительства при отсутствии координат красной линии, устанавливаются от границы земельного участка со стороны улицы/проезда до момента установления координат красной линии.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 </w:t>
      </w:r>
    </w:p>
    <w:p w:rsidR="00090DF4" w:rsidRPr="004A2704" w:rsidRDefault="00090DF4" w:rsidP="00090DF4">
      <w:pPr>
        <w:pStyle w:val="Default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3.Под количеством этажей следует понимать количество всех этажей, включая подземный, подвальный, цокольный, надземный, технический, мансардный, если иное не определено настоящей статьей. </w:t>
      </w:r>
    </w:p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4.Не устанавливаются для земельных участков, образуемых и изменяемых земельных участков, в случаях,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Федерации, а территория для образования или изменения земельного участка не может быть увеличена до минимального размера земельного участка. 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90DF4" w:rsidRPr="004A2704" w:rsidRDefault="00090DF4" w:rsidP="00090DF4">
      <w:pPr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Возможность подключения к централизованным сетям газоснабжения, водоподведения, водоотведения, теплоснабжения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отсутствует;</w:t>
      </w:r>
    </w:p>
    <w:p w:rsidR="00090DF4" w:rsidRPr="004A2704" w:rsidRDefault="00090DF4" w:rsidP="00090DF4">
      <w:pPr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2. водоснабжение населения п. Лемзер осуществляется из нецентрализованного источника водоснабжения – скважина (трубчатый колодец).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Предлагаемые условия: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Форма проведения торгов: 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участниками аукциона по лотам № 1 - </w:t>
      </w:r>
      <w:r>
        <w:rPr>
          <w:sz w:val="20"/>
          <w:szCs w:val="20"/>
        </w:rPr>
        <w:t>3</w:t>
      </w:r>
      <w:r w:rsidRPr="004A2704">
        <w:rPr>
          <w:sz w:val="20"/>
          <w:szCs w:val="20"/>
        </w:rPr>
        <w:t xml:space="preserve"> могут быть только граждане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аукцион, открытый по форме подачи предложений по цене предмета торгов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</w:t>
      </w:r>
      <w:r w:rsidRPr="004A2704">
        <w:rPr>
          <w:b/>
          <w:sz w:val="20"/>
          <w:szCs w:val="20"/>
        </w:rPr>
        <w:t xml:space="preserve">Дата и время начала приема заявок: </w:t>
      </w:r>
      <w:r>
        <w:rPr>
          <w:b/>
          <w:sz w:val="20"/>
          <w:szCs w:val="20"/>
        </w:rPr>
        <w:t xml:space="preserve">02 сентября </w:t>
      </w:r>
      <w:r w:rsidRPr="004A2704">
        <w:rPr>
          <w:b/>
          <w:sz w:val="20"/>
          <w:szCs w:val="20"/>
        </w:rPr>
        <w:t>2022 года с 8-30.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Порядок приема заявок: лично либо через законного представителя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sz w:val="20"/>
          <w:szCs w:val="20"/>
        </w:rPr>
        <w:t xml:space="preserve">- </w:t>
      </w:r>
      <w:r w:rsidRPr="004A2704">
        <w:rPr>
          <w:b/>
          <w:sz w:val="20"/>
          <w:szCs w:val="20"/>
        </w:rPr>
        <w:t xml:space="preserve">Срок приема заявок и прилагаемых к ним документов: до 17-30 часов </w:t>
      </w:r>
      <w:r>
        <w:rPr>
          <w:b/>
          <w:sz w:val="20"/>
          <w:szCs w:val="20"/>
        </w:rPr>
        <w:t>04 октября</w:t>
      </w:r>
      <w:r w:rsidRPr="004A2704">
        <w:rPr>
          <w:b/>
          <w:sz w:val="20"/>
          <w:szCs w:val="20"/>
        </w:rPr>
        <w:t xml:space="preserve"> 2022 года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sz w:val="20"/>
          <w:szCs w:val="20"/>
        </w:rPr>
        <w:t xml:space="preserve">- </w:t>
      </w:r>
      <w:r w:rsidRPr="004A2704">
        <w:rPr>
          <w:b/>
          <w:sz w:val="20"/>
          <w:szCs w:val="20"/>
        </w:rPr>
        <w:t>Адрес места приема заявок: г. Березники, пр. Советский, 39, каб. № 2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Контактный телефон: т. 290-182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Дата определения участников торгов, подведения итогов торгов: </w:t>
      </w:r>
      <w:r>
        <w:rPr>
          <w:b/>
          <w:sz w:val="20"/>
          <w:szCs w:val="20"/>
        </w:rPr>
        <w:t>10 октября</w:t>
      </w:r>
      <w:r w:rsidRPr="004A2704">
        <w:rPr>
          <w:b/>
          <w:sz w:val="20"/>
          <w:szCs w:val="20"/>
        </w:rPr>
        <w:t xml:space="preserve"> 2022 года в 14-00.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Место определения участников торгов и подведение итогов торгов: г. Березники, пр. Советский, 39, каб. 16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Заявки принимаются по предварительной записи. Записаться на сдачу заявки можно по телефону 8(3424) 290-182 или по электронной почте </w:t>
      </w:r>
      <w:r w:rsidRPr="004A2704">
        <w:rPr>
          <w:b/>
          <w:sz w:val="20"/>
          <w:szCs w:val="20"/>
          <w:lang w:val="en-US"/>
        </w:rPr>
        <w:t>zhuravleva</w:t>
      </w:r>
      <w:r w:rsidRPr="004A2704">
        <w:rPr>
          <w:b/>
          <w:sz w:val="20"/>
          <w:szCs w:val="20"/>
        </w:rPr>
        <w:t>_</w:t>
      </w:r>
      <w:r w:rsidRPr="004A2704">
        <w:rPr>
          <w:b/>
          <w:sz w:val="20"/>
          <w:szCs w:val="20"/>
          <w:lang w:val="en-US"/>
        </w:rPr>
        <w:t>e</w:t>
      </w:r>
      <w:r w:rsidRPr="004A2704">
        <w:rPr>
          <w:b/>
          <w:sz w:val="20"/>
          <w:szCs w:val="20"/>
        </w:rPr>
        <w:t>@</w:t>
      </w:r>
      <w:r w:rsidRPr="004A2704">
        <w:rPr>
          <w:b/>
          <w:sz w:val="20"/>
          <w:szCs w:val="20"/>
          <w:lang w:val="en-US"/>
        </w:rPr>
        <w:t>berezniki</w:t>
      </w:r>
      <w:r w:rsidRPr="004A2704">
        <w:rPr>
          <w:b/>
          <w:sz w:val="20"/>
          <w:szCs w:val="20"/>
        </w:rPr>
        <w:t>.</w:t>
      </w:r>
      <w:r w:rsidRPr="004A2704">
        <w:rPr>
          <w:b/>
          <w:sz w:val="20"/>
          <w:szCs w:val="20"/>
          <w:lang w:val="en-US"/>
        </w:rPr>
        <w:t>perm</w:t>
      </w:r>
      <w:r w:rsidRPr="004A2704">
        <w:rPr>
          <w:b/>
          <w:sz w:val="20"/>
          <w:szCs w:val="20"/>
        </w:rPr>
        <w:t>.</w:t>
      </w:r>
      <w:r w:rsidRPr="004A2704">
        <w:rPr>
          <w:b/>
          <w:sz w:val="20"/>
          <w:szCs w:val="20"/>
          <w:lang w:val="en-US"/>
        </w:rPr>
        <w:t>ru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Срок заключения договора: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не ранее чем через 10 дней с момента подписания протокола о результатах торгов.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  <w:specVanish w:val="0"/>
        </w:rPr>
      </w:pPr>
      <w:r w:rsidRPr="004A2704">
        <w:rPr>
          <w:sz w:val="20"/>
          <w:szCs w:val="20"/>
        </w:rPr>
        <w:lastRenderedPageBreak/>
        <w:t xml:space="preserve">Проект договора аренды (купли-продажи) земельного участка, форму заявки на участие в торгах, соглашение о задатке заявители могут получить в управлении имущественных и земельных отношений администрации города Березники (пр. Советский, 39) в рабочие дни с понедельника по четверг с 8-30 до 17-30, в пятницу с 8-30 до 16-30, обеденный перерыв с 12-00 до 12-48 либо ознакомиться с проектом договора аренды земельного участка на официальном сайте </w:t>
      </w:r>
      <w:r w:rsidRPr="004A2704">
        <w:rPr>
          <w:rStyle w:val="blk3"/>
          <w:sz w:val="20"/>
          <w:szCs w:val="20"/>
          <w:specVanish w:val="0"/>
        </w:rPr>
        <w:t xml:space="preserve">Российской Федерации в информационно-телекоммуникационной сети "Интернет" </w:t>
      </w:r>
      <w:r w:rsidRPr="004A2704">
        <w:rPr>
          <w:rStyle w:val="blk3"/>
          <w:sz w:val="20"/>
          <w:szCs w:val="20"/>
          <w:lang w:val="en-US"/>
          <w:specVanish w:val="0"/>
        </w:rPr>
        <w:t>www</w:t>
      </w:r>
      <w:r w:rsidRPr="004A2704">
        <w:rPr>
          <w:rStyle w:val="blk3"/>
          <w:sz w:val="20"/>
          <w:szCs w:val="20"/>
          <w:specVanish w:val="0"/>
        </w:rPr>
        <w:t>.</w:t>
      </w:r>
      <w:r w:rsidRPr="004A2704">
        <w:rPr>
          <w:rStyle w:val="blk3"/>
          <w:sz w:val="20"/>
          <w:szCs w:val="20"/>
          <w:lang w:val="en-US"/>
          <w:specVanish w:val="0"/>
        </w:rPr>
        <w:t>torgi</w:t>
      </w:r>
      <w:r w:rsidRPr="004A2704">
        <w:rPr>
          <w:rStyle w:val="blk3"/>
          <w:sz w:val="20"/>
          <w:szCs w:val="20"/>
          <w:specVanish w:val="0"/>
        </w:rPr>
        <w:t>.</w:t>
      </w:r>
      <w:r w:rsidRPr="004A2704">
        <w:rPr>
          <w:rStyle w:val="blk3"/>
          <w:sz w:val="20"/>
          <w:szCs w:val="20"/>
          <w:lang w:val="en-US"/>
          <w:specVanish w:val="0"/>
        </w:rPr>
        <w:t>gov</w:t>
      </w:r>
      <w:r w:rsidRPr="004A2704">
        <w:rPr>
          <w:rStyle w:val="blk3"/>
          <w:sz w:val="20"/>
          <w:szCs w:val="20"/>
          <w:specVanish w:val="0"/>
        </w:rPr>
        <w:t>.</w:t>
      </w:r>
      <w:r w:rsidRPr="004A2704">
        <w:rPr>
          <w:rStyle w:val="blk3"/>
          <w:sz w:val="20"/>
          <w:szCs w:val="20"/>
          <w:lang w:val="en-US"/>
          <w:specVanish w:val="0"/>
        </w:rPr>
        <w:t>ru</w:t>
      </w:r>
      <w:r w:rsidRPr="004A2704">
        <w:rPr>
          <w:rStyle w:val="blk3"/>
          <w:sz w:val="20"/>
          <w:szCs w:val="20"/>
          <w:specVanish w:val="0"/>
        </w:rPr>
        <w:t>. Плата за получение информации не взимается.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  <w:specVanish w:val="0"/>
        </w:rPr>
      </w:pPr>
      <w:r w:rsidRPr="004A2704">
        <w:rPr>
          <w:rStyle w:val="blk3"/>
          <w:sz w:val="20"/>
          <w:szCs w:val="20"/>
          <w:specVanish w:val="0"/>
        </w:rPr>
        <w:t>Заявка на участие в аукционе оформляется в простой письменной форме на имя главы города, подписывается претендентом (его законным представителем) и должна содержать следующую информацию: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Ф.И.О. (последнее при наличии) претендента (для граждан);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наименование (для юридических лиц);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 праве на земельный участок, о земельном участке (площадь, адрес (адресный ориентир), срок аренды земельного участка (при продаже права заключения договора аренды земельного участка);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паспортные данные претендента (для граждан);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ИНН, ОГРН, КПП претендента (для юридических лиц), а также информацию о руководителе юридического лица (Ф.И.О. (последнее – при наличии), должность, контактный телефон);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адрес регистрации претендента;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дата заполнения заявки;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банковские реквизиты счета для возврата задатка;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 принятии претендентом обязательств, предусмотренных извещением;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об ознакомлении с условиями проведения торгов.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rStyle w:val="blk3"/>
          <w:sz w:val="20"/>
          <w:szCs w:val="20"/>
          <w:specVanish w:val="0"/>
        </w:rPr>
      </w:pPr>
      <w:r w:rsidRPr="004A2704">
        <w:rPr>
          <w:rStyle w:val="blk3"/>
          <w:sz w:val="20"/>
          <w:szCs w:val="20"/>
          <w:specVanish w:val="0"/>
        </w:rPr>
        <w:t xml:space="preserve">Для участия в торгах заявители представляют в установленный в извещении о проведении торгов срок следующие документы: 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1) заявка на участие в торгах;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2) копии документов, удостоверяющих личность заявителя (для граждан);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Для участия в торгах по лотам заявители вносят задаток по следующим реквизитам: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Банковский счет: 40102810145370000048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Казначейский счет:</w:t>
      </w:r>
      <w:r>
        <w:rPr>
          <w:b/>
          <w:sz w:val="20"/>
          <w:szCs w:val="20"/>
        </w:rPr>
        <w:t xml:space="preserve"> </w:t>
      </w:r>
      <w:r w:rsidRPr="004A2704">
        <w:rPr>
          <w:b/>
          <w:sz w:val="20"/>
          <w:szCs w:val="20"/>
        </w:rPr>
        <w:t xml:space="preserve">03232643577080005600 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Банк получателя: ОТДЕЛЕНИЕ ПЕРМЬ БАНКА РОССИИ//УФК по Пермскому краю г. Пермь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БИК 015773997 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Получатель: ИНН 5911000188/КПП 591101001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ФУАГ Березники (Управление имущественных и земельных отношений</w:t>
      </w:r>
      <w:r>
        <w:rPr>
          <w:b/>
          <w:sz w:val="20"/>
          <w:szCs w:val="20"/>
        </w:rPr>
        <w:t xml:space="preserve"> </w:t>
      </w:r>
      <w:r w:rsidRPr="004A2704">
        <w:rPr>
          <w:b/>
          <w:sz w:val="20"/>
          <w:szCs w:val="20"/>
        </w:rPr>
        <w:t xml:space="preserve">администрации г. Березники, л/с 059280012). 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Задаток, перечисленный победителем торгов, засчитывается в счет расчетов по оплате предмета торгов. Задаток участника торгов, не выигравшего торги, возвращается</w:t>
      </w:r>
      <w:r w:rsidRPr="004A2704">
        <w:rPr>
          <w:b/>
          <w:sz w:val="20"/>
          <w:szCs w:val="20"/>
        </w:rPr>
        <w:t xml:space="preserve"> </w:t>
      </w:r>
      <w:r w:rsidRPr="004A2704">
        <w:rPr>
          <w:sz w:val="20"/>
          <w:szCs w:val="20"/>
        </w:rPr>
        <w:t>на расчетный счет участника в случаях и в сроки, установленные частью 24 статьи 39.11, частями 7, 11, 18, 21 статьи 39.12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ЗК РФ, путем перечисления суммы внесенного задатка на указанный в заявке на участие в аукционе счет Заявителя.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Установить для лотов «шаг аукциона» в размере 3 % от начальной цены предмета торгов.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Особым условием для победителя торгов по лотам и иным лицам, с которыми договор аренды (купли-продажи) заключается в соответствии с </w:t>
      </w:r>
      <w:hyperlink r:id="rId5" w:history="1">
        <w:r w:rsidRPr="004A2704">
          <w:rPr>
            <w:color w:val="0000FF"/>
            <w:sz w:val="20"/>
            <w:szCs w:val="20"/>
          </w:rPr>
          <w:t>пунктом 13</w:t>
        </w:r>
      </w:hyperlink>
      <w:r w:rsidRPr="004A2704">
        <w:rPr>
          <w:sz w:val="20"/>
          <w:szCs w:val="20"/>
        </w:rPr>
        <w:t xml:space="preserve">, </w:t>
      </w:r>
      <w:hyperlink r:id="rId6" w:history="1">
        <w:r w:rsidRPr="004A2704">
          <w:rPr>
            <w:color w:val="0000FF"/>
            <w:sz w:val="20"/>
            <w:szCs w:val="20"/>
          </w:rPr>
          <w:t>14</w:t>
        </w:r>
      </w:hyperlink>
      <w:r w:rsidRPr="004A2704">
        <w:rPr>
          <w:sz w:val="20"/>
          <w:szCs w:val="20"/>
        </w:rPr>
        <w:t xml:space="preserve"> или </w:t>
      </w:r>
      <w:hyperlink r:id="rId7" w:history="1">
        <w:r w:rsidRPr="004A2704">
          <w:rPr>
            <w:color w:val="0000FF"/>
            <w:sz w:val="20"/>
            <w:szCs w:val="20"/>
          </w:rPr>
          <w:t>20</w:t>
        </w:r>
      </w:hyperlink>
      <w:r w:rsidRPr="004A2704">
        <w:rPr>
          <w:sz w:val="20"/>
          <w:szCs w:val="20"/>
        </w:rPr>
        <w:t xml:space="preserve"> статьи 39.12 Земельного кодекса РФ установить: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- 100 % оплату предложенного размера предмета торгов в течение 5 дней после подписания итогового протокола заседания комиссии по продаже земельных участков (прав их аренды);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подписание итогового протокола о результатах торгов в день подведения итогов торгов. 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Аукцион проводится в порядке, установленном статьей 39.12 Земельного кодекса РФ. Во время процедуры торгов участники аукциона вправе заявлять цену предмета торгов кратно установленному шагу аукциона (по каждому лоту).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Критерием выявления победителя по лотам установлен наибольший предложенный размер предмета торгов.</w:t>
      </w:r>
    </w:p>
    <w:p w:rsidR="00090DF4" w:rsidRPr="004A2704" w:rsidRDefault="00090DF4" w:rsidP="00090DF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sz w:val="20"/>
          <w:szCs w:val="20"/>
        </w:rPr>
        <w:t>Особо установлено, что размер ежегодной арендной платы за земельный участок может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быть увеличен на основании Федерального Закона РФ, Закона Пермского края, Постановления Правительства РФ, решения субъекта Российской Федерации об индексации ставок арендной платы за землю, но не чаще одного раза в год.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Извещение по торгам, проводимым в электронной форме:</w:t>
      </w:r>
    </w:p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Лот № 1.</w:t>
      </w:r>
      <w:r w:rsidRPr="004A270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4A2704">
        <w:rPr>
          <w:sz w:val="20"/>
        </w:rPr>
        <w:t>о</w:t>
      </w:r>
      <w:r w:rsidRPr="004A2704">
        <w:rPr>
          <w:sz w:val="20"/>
        </w:rPr>
        <w:t>щадью 3873 кв.м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100 000, 00 рублей</w:t>
      </w:r>
      <w:r w:rsidRPr="004A2704">
        <w:rPr>
          <w:sz w:val="20"/>
        </w:rPr>
        <w:t>.</w:t>
      </w:r>
    </w:p>
    <w:p w:rsidR="00090DF4" w:rsidRPr="004A2704" w:rsidRDefault="00090DF4" w:rsidP="00090DF4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100 000,00 руб.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lastRenderedPageBreak/>
        <w:t>Дополнительная информация:</w:t>
      </w:r>
    </w:p>
    <w:p w:rsidR="00090DF4" w:rsidRPr="004A2704" w:rsidRDefault="00090DF4" w:rsidP="00090DF4">
      <w:pPr>
        <w:shd w:val="clear" w:color="auto" w:fill="FFFFFF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1. Часть земельного участка площадью 220 кв.м расположена в охранной зоне газопровода (59:03-6.56).</w:t>
      </w:r>
    </w:p>
    <w:p w:rsidR="00090DF4" w:rsidRPr="004A2704" w:rsidRDefault="00090DF4" w:rsidP="00090DF4">
      <w:pPr>
        <w:pStyle w:val="a6"/>
        <w:spacing w:line="240" w:lineRule="auto"/>
        <w:ind w:firstLine="284"/>
        <w:rPr>
          <w:bCs/>
          <w:sz w:val="20"/>
          <w:szCs w:val="20"/>
          <w:lang w:val="ru-RU"/>
        </w:rPr>
      </w:pPr>
      <w:r w:rsidRPr="004A2704">
        <w:rPr>
          <w:sz w:val="20"/>
          <w:szCs w:val="20"/>
          <w:lang w:val="ru-RU"/>
        </w:rPr>
        <w:t xml:space="preserve">2. Победитель торгов обязан </w:t>
      </w:r>
      <w:r w:rsidRPr="004A2704">
        <w:rPr>
          <w:bCs/>
          <w:sz w:val="20"/>
          <w:szCs w:val="20"/>
          <w:lang w:val="ru-RU"/>
        </w:rPr>
        <w:t>допускать представителей собственника линейных объектов или представителей организации, осуществляющей эксплуатацию линейных объектов, расположенных на земельном участке с кадастровым номером 59:03:0400050:6462, к данным объектам в целях обеспечения их безопасности.</w:t>
      </w:r>
    </w:p>
    <w:p w:rsidR="00090DF4" w:rsidRPr="004A2704" w:rsidRDefault="00090DF4" w:rsidP="00090DF4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3. На части земельного участка общей площадью 339 кв.м установлен публичный сервитут для использования земельного участка в целях ремонта коммунальных, инженерных, электрических и других линий и сетей.</w:t>
      </w:r>
    </w:p>
    <w:p w:rsidR="00090DF4" w:rsidRPr="004A2704" w:rsidRDefault="00090DF4" w:rsidP="00090DF4">
      <w:pPr>
        <w:pStyle w:val="2"/>
        <w:spacing w:after="0" w:line="240" w:lineRule="auto"/>
        <w:ind w:left="0"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4. Победитель торгов должен вынести игровую и мусороконтейнерную площадки с места застройки.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5. Участок расположен в зоне 5 – пригодная для застройки (не подрабатываемая):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8"/>
        <w:gridCol w:w="3662"/>
        <w:gridCol w:w="6011"/>
      </w:tblGrid>
      <w:tr w:rsidR="00090DF4" w:rsidRPr="004A2704" w:rsidTr="00E54711">
        <w:trPr>
          <w:trHeight w:val="20"/>
        </w:trPr>
        <w:tc>
          <w:tcPr>
            <w:tcW w:w="0" w:type="auto"/>
          </w:tcPr>
          <w:p w:rsidR="00090DF4" w:rsidRPr="004A2704" w:rsidRDefault="00090DF4" w:rsidP="00E54711">
            <w:pPr>
              <w:jc w:val="center"/>
              <w:rPr>
                <w:rFonts w:eastAsia="Verdana"/>
                <w:b/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>Территория (зона)</w:t>
            </w:r>
          </w:p>
        </w:tc>
        <w:tc>
          <w:tcPr>
            <w:tcW w:w="0" w:type="auto"/>
          </w:tcPr>
          <w:p w:rsidR="00090DF4" w:rsidRPr="004A2704" w:rsidRDefault="00090DF4" w:rsidP="00E54711">
            <w:pPr>
              <w:jc w:val="center"/>
              <w:rPr>
                <w:rFonts w:eastAsia="Verdana"/>
                <w:b/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>Степень</w:t>
            </w:r>
            <w:r>
              <w:rPr>
                <w:rFonts w:eastAsia="Verdana"/>
                <w:b/>
                <w:sz w:val="16"/>
                <w:szCs w:val="16"/>
              </w:rPr>
              <w:t xml:space="preserve"> </w:t>
            </w:r>
            <w:r w:rsidRPr="004A2704">
              <w:rPr>
                <w:rFonts w:eastAsia="Verdana"/>
                <w:b/>
                <w:sz w:val="16"/>
                <w:szCs w:val="16"/>
              </w:rPr>
              <w:t>пригодности/непригодности</w:t>
            </w:r>
            <w:r>
              <w:rPr>
                <w:rFonts w:eastAsia="Verdana"/>
                <w:b/>
                <w:sz w:val="16"/>
                <w:szCs w:val="16"/>
              </w:rPr>
              <w:t xml:space="preserve"> </w:t>
            </w:r>
            <w:r w:rsidRPr="004A2704">
              <w:rPr>
                <w:rFonts w:eastAsia="Verdana"/>
                <w:b/>
                <w:sz w:val="16"/>
                <w:szCs w:val="16"/>
              </w:rPr>
              <w:t>использования территории (зоны)</w:t>
            </w:r>
          </w:p>
        </w:tc>
        <w:tc>
          <w:tcPr>
            <w:tcW w:w="0" w:type="auto"/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rFonts w:eastAsia="Verdana"/>
                <w:b/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 xml:space="preserve">Возможность осуществления градостроительной деятельности </w:t>
            </w:r>
          </w:p>
          <w:p w:rsidR="00090DF4" w:rsidRPr="004A2704" w:rsidRDefault="00090DF4" w:rsidP="00E54711">
            <w:pPr>
              <w:tabs>
                <w:tab w:val="num" w:pos="1128"/>
              </w:tabs>
              <w:jc w:val="center"/>
              <w:rPr>
                <w:sz w:val="16"/>
                <w:szCs w:val="16"/>
              </w:rPr>
            </w:pPr>
            <w:r w:rsidRPr="004A2704">
              <w:rPr>
                <w:rFonts w:eastAsia="Verdana"/>
                <w:b/>
                <w:sz w:val="16"/>
                <w:szCs w:val="16"/>
              </w:rPr>
              <w:t>(строительство, реконструкция) по видам</w:t>
            </w:r>
            <w:r>
              <w:rPr>
                <w:rFonts w:eastAsia="Verdana"/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объектов капитального строительства</w:t>
            </w:r>
          </w:p>
        </w:tc>
      </w:tr>
      <w:tr w:rsidR="00090DF4" w:rsidRPr="004A2704" w:rsidTr="00E54711">
        <w:trPr>
          <w:trHeight w:val="20"/>
        </w:trPr>
        <w:tc>
          <w:tcPr>
            <w:tcW w:w="0" w:type="auto"/>
          </w:tcPr>
          <w:p w:rsidR="00090DF4" w:rsidRPr="004A2704" w:rsidRDefault="00090DF4" w:rsidP="00E54711">
            <w:pPr>
              <w:jc w:val="center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5</w:t>
            </w:r>
          </w:p>
          <w:p w:rsidR="00090DF4" w:rsidRPr="004A2704" w:rsidRDefault="00090DF4" w:rsidP="00E5471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Пригодная для застройки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(не подрабатываемая)</w:t>
            </w:r>
          </w:p>
        </w:tc>
        <w:tc>
          <w:tcPr>
            <w:tcW w:w="6011" w:type="dxa"/>
            <w:shd w:val="clear" w:color="auto" w:fill="auto"/>
          </w:tcPr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Любая градостроительная деятельность (этажность в соответствии с установленным градостроительным регламентом)</w:t>
            </w:r>
          </w:p>
        </w:tc>
      </w:tr>
    </w:tbl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54"/>
        <w:gridCol w:w="2112"/>
        <w:gridCol w:w="1614"/>
        <w:gridCol w:w="2064"/>
        <w:gridCol w:w="1370"/>
        <w:gridCol w:w="1620"/>
      </w:tblGrid>
      <w:tr w:rsidR="00090DF4" w:rsidRPr="004A2704" w:rsidTr="00E54711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№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использования земельного участка –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Описание вида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размеры земельных участков и предельные параметры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(минимальные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A270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</w:t>
            </w:r>
            <w:r w:rsidRPr="004A2704">
              <w:rPr>
                <w:b/>
                <w:sz w:val="16"/>
                <w:szCs w:val="16"/>
                <w:vertAlign w:val="superscript"/>
              </w:rPr>
              <w:t>3</w:t>
            </w:r>
            <w:r w:rsidRPr="004A2704">
              <w:rPr>
                <w:b/>
                <w:sz w:val="16"/>
                <w:szCs w:val="16"/>
              </w:rPr>
              <w:t xml:space="preserve">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как отношение суммарной площади земельного участка, которая может быть застроена,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090DF4" w:rsidRPr="004A2704" w:rsidTr="00E54711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pStyle w:val="a5"/>
              <w:ind w:left="0"/>
              <w:contextualSpacing w:val="0"/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0DF4" w:rsidRPr="004A2704" w:rsidTr="00E54711"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Среднеэтажная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жилая застройка – код 2.5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Размещение многоквартирных домов этажностью не выше восьми этажей;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благоустройство и озеленение;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размещение подземных гаражей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и автостоянок;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обустройство спортивных и детских площадок, площадок для отдыха;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в многоквартирном доме не составляет более 20 % общей площади помещений дома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Минимальная площадь</w:t>
            </w:r>
          </w:p>
          <w:p w:rsidR="00090DF4" w:rsidRPr="004A2704" w:rsidRDefault="00090DF4" w:rsidP="00E54711">
            <w:pPr>
              <w:autoSpaceDE w:val="0"/>
              <w:autoSpaceDN w:val="0"/>
              <w:adjustRightInd w:val="0"/>
              <w:ind w:right="-142"/>
              <w:jc w:val="center"/>
              <w:rPr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 xml:space="preserve">земельного участка </w:t>
            </w:r>
            <w:r w:rsidRPr="004A2704">
              <w:rPr>
                <w:sz w:val="16"/>
                <w:szCs w:val="16"/>
              </w:rPr>
              <w:t>– 1 500 кв.м;</w:t>
            </w:r>
          </w:p>
          <w:p w:rsidR="00090DF4" w:rsidRPr="004A2704" w:rsidRDefault="00090DF4" w:rsidP="00E54711">
            <w:pPr>
              <w:jc w:val="center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максимальная площадь земельного</w:t>
            </w:r>
          </w:p>
          <w:p w:rsidR="00090DF4" w:rsidRPr="004A2704" w:rsidRDefault="00090DF4" w:rsidP="00E54711">
            <w:pPr>
              <w:jc w:val="center"/>
              <w:rPr>
                <w:color w:val="000000"/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участка –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color w:val="000000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Минимальный отступ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от красной линии - 5 м; минимальный отступ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от границ смежных земельных участков –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1 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8 надземных этажей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40 %</w:t>
            </w:r>
          </w:p>
        </w:tc>
      </w:tr>
    </w:tbl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Технические условия подключения к сетям водоснабжения и водоотведения имеется: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1.1. предельная свободная мощность – определяется гидравлическим расчетом;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1.2. максимальное планируемое водоотведение в возможных точках подключения – 0,0 м</w:t>
      </w:r>
      <w:r w:rsidRPr="004A2704">
        <w:rPr>
          <w:bCs/>
          <w:sz w:val="20"/>
          <w:szCs w:val="20"/>
          <w:vertAlign w:val="superscript"/>
        </w:rPr>
        <w:t>3</w:t>
      </w:r>
      <w:r w:rsidRPr="004A2704">
        <w:rPr>
          <w:bCs/>
          <w:sz w:val="20"/>
          <w:szCs w:val="20"/>
        </w:rPr>
        <w:t>/сут;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1.3. максимальное планируемое водопотребление в возможных точках подключения – определяется расчетом при проектировании;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1.4. сети водопровода и канализации проходят вдоль дома № 137 по ул. Ломоносова, вдоль дома № 139 по ул. Ломоносова.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 xml:space="preserve">1.5. размер платы за подключение устанавливается органом регулирования тарифов индивидуально в порядке, установленном основами ценообразования в сфере водоснабжения и водоотведения, утвержденном Постановлением </w:t>
      </w:r>
      <w:r w:rsidRPr="004A2704">
        <w:rPr>
          <w:bCs/>
          <w:sz w:val="20"/>
          <w:szCs w:val="20"/>
        </w:rPr>
        <w:lastRenderedPageBreak/>
        <w:t>Правительства РФ от 13.05.2013 № 406, и Правилами холодного водоснабжения и водоотведения, утвержденными Постановлением Правительства РФ от 29.07.2013 № 644;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1.6. срок подключения объекта капитального строительства определяется в договоре подключения, на основании которого в соответствии с Федеральным законом от 07.12.2011 № 416-ФЗ «О водоснабжении и водоотведении», Правилами холодного водоснабжения и водоотведения, утвержденными Постановлением Правительства РФ от 29.07.2013 № 644,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№ 83, производится подключение объекта капитального строительства к централизованным системам холодного водоснабжения и водоотведения;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2. Технологическая возможность подключения объекта к сетям теплоснабжения имеется: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2.1. возможные точки присоединения к тепловым сетям: К-Л2-10-3 по ул. Ломоносова на тепловой сети 2Ду 150 мм;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2.2. тепловая нагрузка в возможным точках подключения: 0,9 Гкал/час;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2.3. теплоснабжение объекта не учтено в утвержденной схеме теплоснабжения г. Березники;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3. Технологическая возможность подключения к сети газоснабжения существует: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3.1. подключение возможно от подземного газопровода низкого давления идущего в границе земельного участка, Д 114 мм, принадлежащего Березниковскому филиалу АО «Газпром газораспределение Пермь»;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3.2. максимальная подключаемая нагрузка – 40,0 м</w:t>
      </w:r>
      <w:r w:rsidRPr="004A2704">
        <w:rPr>
          <w:sz w:val="20"/>
          <w:vertAlign w:val="superscript"/>
        </w:rPr>
        <w:t>3</w:t>
      </w:r>
      <w:r w:rsidRPr="004A2704">
        <w:rPr>
          <w:sz w:val="20"/>
        </w:rPr>
        <w:t>/час;</w:t>
      </w:r>
    </w:p>
    <w:p w:rsidR="00090DF4" w:rsidRPr="004A2704" w:rsidRDefault="00090DF4" w:rsidP="00090DF4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3.3. срок подключения (технологического присоединения) объекта капитального строительства устанавливается индивидуально в соответствии с требованиями п. 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1547;</w:t>
      </w:r>
    </w:p>
    <w:p w:rsidR="00090DF4" w:rsidRPr="004A2704" w:rsidRDefault="00090DF4" w:rsidP="00090DF4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3.4. плата за подключение (технологическое присоединение) – согласно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1547, устанавливается постановлением РСТ Пермского края.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4. срок действия технических условий – 3 года.</w:t>
      </w:r>
    </w:p>
    <w:p w:rsidR="00090DF4" w:rsidRDefault="00090DF4" w:rsidP="00090DF4">
      <w:pPr>
        <w:pStyle w:val="3"/>
        <w:ind w:firstLine="284"/>
        <w:rPr>
          <w:sz w:val="20"/>
        </w:rPr>
      </w:pP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Лот № 2.</w:t>
      </w:r>
      <w:r w:rsidRPr="004A270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4A2704">
        <w:rPr>
          <w:sz w:val="20"/>
        </w:rPr>
        <w:t>о</w:t>
      </w:r>
      <w:r w:rsidRPr="004A2704">
        <w:rPr>
          <w:sz w:val="20"/>
        </w:rPr>
        <w:t>щадью 36590 кв.м,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b/>
          <w:sz w:val="20"/>
        </w:rPr>
        <w:t>Начальная цена предмета торгов: размер ежегодной арендной платы за землю – 160 000, 00 рублей</w:t>
      </w:r>
      <w:r w:rsidRPr="004A2704">
        <w:rPr>
          <w:sz w:val="20"/>
        </w:rPr>
        <w:t>.</w:t>
      </w:r>
    </w:p>
    <w:p w:rsidR="00090DF4" w:rsidRPr="004A2704" w:rsidRDefault="00090DF4" w:rsidP="00090DF4">
      <w:pPr>
        <w:pStyle w:val="3"/>
        <w:ind w:firstLine="284"/>
        <w:rPr>
          <w:b/>
          <w:sz w:val="20"/>
        </w:rPr>
      </w:pPr>
      <w:r w:rsidRPr="004A2704">
        <w:rPr>
          <w:b/>
          <w:sz w:val="20"/>
        </w:rPr>
        <w:t>Сумма задатка: 100 % от начальной цены предмета торгов – 160 000,00 руб.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Дополнительная информация по ограничениям в использовании земельного участка:</w:t>
      </w:r>
    </w:p>
    <w:p w:rsidR="00090DF4" w:rsidRPr="004A2704" w:rsidRDefault="00090DF4" w:rsidP="00090DF4">
      <w:pPr>
        <w:shd w:val="clear" w:color="auto" w:fill="FFFFFF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1. Часть земельного участка площадью 180 кв.м расположена в охранной зоне газопровода (59:03-6.924).</w:t>
      </w:r>
    </w:p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2. Участок расположен в зоне 2 – над затопленными горными выработками: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"/>
        <w:gridCol w:w="2642"/>
        <w:gridCol w:w="3881"/>
        <w:gridCol w:w="3155"/>
      </w:tblGrid>
      <w:tr w:rsidR="00090DF4" w:rsidRPr="004A2704" w:rsidTr="00E54711">
        <w:trPr>
          <w:trHeight w:val="20"/>
        </w:trPr>
        <w:tc>
          <w:tcPr>
            <w:tcW w:w="0" w:type="auto"/>
          </w:tcPr>
          <w:p w:rsidR="00090DF4" w:rsidRPr="004A2704" w:rsidRDefault="00090DF4" w:rsidP="00E54711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>Территория (зона)</w:t>
            </w:r>
          </w:p>
        </w:tc>
        <w:tc>
          <w:tcPr>
            <w:tcW w:w="0" w:type="auto"/>
          </w:tcPr>
          <w:p w:rsidR="00090DF4" w:rsidRPr="004A2704" w:rsidRDefault="00090DF4" w:rsidP="00E54711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>Степень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4A2704">
              <w:rPr>
                <w:rFonts w:eastAsia="Verdana"/>
                <w:b/>
                <w:sz w:val="20"/>
                <w:szCs w:val="20"/>
              </w:rPr>
              <w:t>пригодности/непригодности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4A2704">
              <w:rPr>
                <w:rFonts w:eastAsia="Verdana"/>
                <w:b/>
                <w:sz w:val="20"/>
                <w:szCs w:val="20"/>
              </w:rPr>
              <w:t>использования территории (зоны)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 xml:space="preserve">Возможность осуществления градостроительной деятельности </w:t>
            </w:r>
          </w:p>
          <w:p w:rsidR="00090DF4" w:rsidRPr="004A2704" w:rsidRDefault="00090DF4" w:rsidP="00E54711">
            <w:pPr>
              <w:tabs>
                <w:tab w:val="num" w:pos="1128"/>
              </w:tabs>
              <w:jc w:val="center"/>
              <w:rPr>
                <w:sz w:val="20"/>
                <w:szCs w:val="20"/>
              </w:rPr>
            </w:pPr>
            <w:r w:rsidRPr="004A2704">
              <w:rPr>
                <w:rFonts w:eastAsia="Verdana"/>
                <w:b/>
                <w:sz w:val="20"/>
                <w:szCs w:val="20"/>
              </w:rPr>
              <w:t>(строительство, реконструкция) по видам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4A2704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</w:tr>
      <w:tr w:rsidR="00090DF4" w:rsidRPr="004A2704" w:rsidTr="00E54711">
        <w:trPr>
          <w:trHeight w:val="20"/>
        </w:trPr>
        <w:tc>
          <w:tcPr>
            <w:tcW w:w="0" w:type="auto"/>
          </w:tcPr>
          <w:p w:rsidR="00090DF4" w:rsidRPr="004A2704" w:rsidRDefault="00090DF4" w:rsidP="00E54711">
            <w:pPr>
              <w:jc w:val="center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2</w:t>
            </w:r>
          </w:p>
          <w:p w:rsidR="00090DF4" w:rsidRPr="004A2704" w:rsidRDefault="00090DF4" w:rsidP="00E54711">
            <w:pPr>
              <w:jc w:val="center"/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Над затопленными горными выработками</w:t>
            </w:r>
          </w:p>
        </w:tc>
        <w:tc>
          <w:tcPr>
            <w:tcW w:w="3330" w:type="dxa"/>
            <w:shd w:val="clear" w:color="auto" w:fill="auto"/>
          </w:tcPr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Разрешена малоэтажная застройка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до 3-х этажей включая мансарду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(3-й этаж только в мансардном исполнении) различной плотности.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Мониторинг состояния существующих зданий и сооружений. На основании мониторинга либо реконструкция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с применением КМЗ, либо снос.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Дальнейшее использование площадей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для застройки по мере затухания процессов деформации после 2030 года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</w:p>
        </w:tc>
        <w:tc>
          <w:tcPr>
            <w:tcW w:w="2681" w:type="dxa"/>
          </w:tcPr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Строительство с применением КМЗ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Разрешено строительство с применением КМЗ при необходимости: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газопроводы и нефтепроводы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наземные и надземные;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водопроводы наземные и надземные;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теплопроводы надземные, подземные в каналах;</w:t>
            </w:r>
          </w:p>
          <w:p w:rsidR="00090DF4" w:rsidRPr="004A2704" w:rsidRDefault="00090DF4" w:rsidP="00E54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канализационные сети стальные </w:t>
            </w:r>
          </w:p>
          <w:p w:rsidR="00090DF4" w:rsidRPr="004A2704" w:rsidRDefault="00090DF4" w:rsidP="00E547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напорные надземные;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железные дороги III (с ограничением),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IV, V категорий;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путепроводы;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улично-дорожная сеть.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Строительство только с применением специальных конструктивных мер защиты - все подземные сети. </w:t>
            </w:r>
          </w:p>
          <w:p w:rsidR="00090DF4" w:rsidRPr="004A2704" w:rsidRDefault="00090DF4" w:rsidP="00E54711">
            <w:pPr>
              <w:rPr>
                <w:rFonts w:eastAsia="Verdana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 xml:space="preserve">Ремонт и реконструкция существующих сетей </w:t>
            </w:r>
          </w:p>
          <w:p w:rsidR="00090DF4" w:rsidRPr="004A2704" w:rsidRDefault="00090DF4" w:rsidP="00E54711">
            <w:pPr>
              <w:rPr>
                <w:rFonts w:eastAsia="Verdana"/>
                <w:color w:val="FF0000"/>
                <w:sz w:val="16"/>
                <w:szCs w:val="16"/>
              </w:rPr>
            </w:pPr>
            <w:r w:rsidRPr="004A2704">
              <w:rPr>
                <w:rFonts w:eastAsia="Verdana"/>
                <w:sz w:val="16"/>
                <w:szCs w:val="16"/>
              </w:rPr>
              <w:t>с применением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  <w:r w:rsidRPr="004A2704">
              <w:rPr>
                <w:rFonts w:eastAsia="Verdana"/>
                <w:sz w:val="16"/>
                <w:szCs w:val="16"/>
              </w:rPr>
              <w:t>конструктивных мер защиты</w:t>
            </w:r>
            <w:r>
              <w:rPr>
                <w:rFonts w:eastAsia="Verdana"/>
                <w:sz w:val="16"/>
                <w:szCs w:val="16"/>
              </w:rPr>
              <w:t xml:space="preserve"> </w:t>
            </w:r>
          </w:p>
        </w:tc>
      </w:tr>
    </w:tbl>
    <w:p w:rsidR="00090DF4" w:rsidRPr="004A2704" w:rsidRDefault="00090DF4" w:rsidP="00090DF4">
      <w:pPr>
        <w:tabs>
          <w:tab w:val="num" w:pos="1128"/>
        </w:tabs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06"/>
        <w:gridCol w:w="1952"/>
        <w:gridCol w:w="1585"/>
        <w:gridCol w:w="1977"/>
        <w:gridCol w:w="1443"/>
        <w:gridCol w:w="1879"/>
      </w:tblGrid>
      <w:tr w:rsidR="00090DF4" w:rsidRPr="004A2704" w:rsidTr="00E54711">
        <w:trPr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№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Наименование вида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A2704">
              <w:rPr>
                <w:b/>
                <w:sz w:val="16"/>
                <w:szCs w:val="16"/>
              </w:rPr>
              <w:t xml:space="preserve">разрешенного </w:t>
            </w:r>
            <w:r w:rsidRPr="004A2704">
              <w:rPr>
                <w:b/>
                <w:sz w:val="16"/>
                <w:szCs w:val="16"/>
              </w:rPr>
              <w:lastRenderedPageBreak/>
              <w:t>использования земельного участка – код Классификатора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 xml:space="preserve">Описание вида 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 xml:space="preserve">разрешенного </w:t>
            </w:r>
            <w:r w:rsidRPr="004A2704">
              <w:rPr>
                <w:b/>
                <w:sz w:val="16"/>
                <w:szCs w:val="16"/>
              </w:rPr>
              <w:lastRenderedPageBreak/>
              <w:t>использования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>Предельные размеры земельных участков и предельные параметры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разрешенного строительства, реконструкции объектов капитального строительства</w:t>
            </w:r>
            <w:r w:rsidRPr="004A270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предельные (минимальные</w:t>
            </w:r>
          </w:p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      </w:r>
          </w:p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ко всей площади земельного участка</w:t>
            </w:r>
          </w:p>
        </w:tc>
      </w:tr>
      <w:tr w:rsidR="00090DF4" w:rsidRPr="004A2704" w:rsidTr="00E54711">
        <w:trPr>
          <w:tblHeader/>
        </w:trPr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</w:rPr>
              <w:t>7</w:t>
            </w:r>
          </w:p>
        </w:tc>
      </w:tr>
      <w:tr w:rsidR="00090DF4" w:rsidRPr="004A2704" w:rsidTr="00E54711">
        <w:tc>
          <w:tcPr>
            <w:tcW w:w="0" w:type="auto"/>
            <w:gridSpan w:val="7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jc w:val="center"/>
              <w:rPr>
                <w:b/>
                <w:sz w:val="16"/>
                <w:szCs w:val="16"/>
              </w:rPr>
            </w:pPr>
            <w:r w:rsidRPr="004A2704">
              <w:rPr>
                <w:b/>
                <w:sz w:val="16"/>
                <w:szCs w:val="16"/>
                <w:lang w:val="en-US"/>
              </w:rPr>
              <w:t>I</w:t>
            </w:r>
            <w:r w:rsidRPr="004A2704">
              <w:rPr>
                <w:b/>
                <w:sz w:val="16"/>
                <w:szCs w:val="16"/>
              </w:rPr>
              <w:t>.Основные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90DF4" w:rsidRPr="004A2704" w:rsidTr="00E54711">
        <w:tc>
          <w:tcPr>
            <w:tcW w:w="0" w:type="auto"/>
            <w:tcBorders>
              <w:right w:val="single" w:sz="4" w:space="0" w:color="auto"/>
            </w:tcBorders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Туристическое обслуживание – код 5.2.1</w:t>
            </w:r>
          </w:p>
        </w:tc>
        <w:tc>
          <w:tcPr>
            <w:tcW w:w="0" w:type="auto"/>
          </w:tcPr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Размещение пансионатов, туристических гостиниц, кемпингов, домов отдыха,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не оказывающих услуги по лечению,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а также иных зданий, используемых с целью извлечения предпринимательской выгоды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 xml:space="preserve">из предоставления жилого помещения 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для временного проживания в них;</w:t>
            </w:r>
          </w:p>
          <w:p w:rsidR="00090DF4" w:rsidRPr="004A2704" w:rsidRDefault="00090DF4" w:rsidP="00E54711">
            <w:pPr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размещение детских лагерей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  <w:lang w:val="en-US"/>
              </w:rPr>
            </w:pPr>
            <w:r w:rsidRPr="004A2704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  <w:lang w:val="en-US"/>
              </w:rPr>
            </w:pPr>
            <w:r w:rsidRPr="004A2704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</w:rPr>
            </w:pPr>
            <w:r w:rsidRPr="004A2704">
              <w:rPr>
                <w:sz w:val="16"/>
                <w:szCs w:val="16"/>
              </w:rPr>
              <w:t>Не подлежат установлению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090DF4" w:rsidRPr="004A2704" w:rsidRDefault="00090DF4" w:rsidP="00E54711">
            <w:pPr>
              <w:jc w:val="center"/>
              <w:rPr>
                <w:sz w:val="16"/>
                <w:szCs w:val="16"/>
                <w:lang w:val="en-US"/>
              </w:rPr>
            </w:pPr>
            <w:r w:rsidRPr="004A2704">
              <w:rPr>
                <w:sz w:val="16"/>
                <w:szCs w:val="16"/>
              </w:rPr>
              <w:t>Не подлежит установлению</w:t>
            </w:r>
          </w:p>
        </w:tc>
      </w:tr>
    </w:tbl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/>
          <w:bCs/>
          <w:sz w:val="20"/>
          <w:szCs w:val="20"/>
        </w:rPr>
      </w:pPr>
      <w:r w:rsidRPr="004A2704">
        <w:rPr>
          <w:b/>
          <w:bCs/>
          <w:sz w:val="20"/>
          <w:szCs w:val="20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 Технические условия подключения к сетям водоснабжения и водоотведения имеется: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1.1. предельная свободная мощность – определяется гидравлическим расчетом;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1.2. максимальное планируемое водоотведение в возможных точках подключения – 0,0 м</w:t>
      </w:r>
      <w:r w:rsidRPr="004A2704">
        <w:rPr>
          <w:bCs/>
          <w:sz w:val="20"/>
          <w:szCs w:val="20"/>
          <w:vertAlign w:val="superscript"/>
        </w:rPr>
        <w:t>3</w:t>
      </w:r>
      <w:r w:rsidRPr="004A2704">
        <w:rPr>
          <w:bCs/>
          <w:sz w:val="20"/>
          <w:szCs w:val="20"/>
        </w:rPr>
        <w:t>/сут;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1.3. максимальное планируемое водопотребление в возможных точках подключения – определяется расчетом при проектировании;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1.4. сети водопровода и канализации проходят в районе Нартовки и Зырянки;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1.5. размер платы за подключение устанавливается органом регулирования тарифов индивидуально в порядке, установленном основами ценообразования в сфере водоснабжения и водоотведения, утвержденном Постановлением Правительства РФ от 13.05.2013 № 406, и Правилами холодного водоснабжения и водоотведения, утвержденными Постановлением Правительства РФ от 29.07.2013 № 644;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1.6. срок подключения объекта капитального строительства определяется в договоре подключения, на основании которого в соответствии с Федеральным законом от 07.12.2011 № 416-ФЗ «О водоснабжении и водоотведении», Правилами холодного водоснабжения и водоотведения, утвержденными Постановлением Правительства РФ от 29.07.2013 № 644,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№ 83, производится подключение объекта капитального строительства к централизованным системам холодного водоснабжения и водоотведения;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2. Технологическая возможность подключения объекта к централизованным сетям теплоснабжения отсутствует;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3. Технологическая возможность подключения к сети газоснабжения существует: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3.1. подключение возможно от подземного газопровода высокого давления, Д 219 мм, принадлежащего Березниковскому филиалу АО «Газпром газораспределение Пермь», удаленность точки подключения ≈ 100,0 м по прямой с прохождением газопровода по землям третьих лиц;</w:t>
      </w:r>
    </w:p>
    <w:p w:rsidR="00090DF4" w:rsidRPr="004A2704" w:rsidRDefault="00090DF4" w:rsidP="00090DF4">
      <w:pPr>
        <w:pStyle w:val="3"/>
        <w:ind w:firstLine="284"/>
        <w:rPr>
          <w:sz w:val="20"/>
        </w:rPr>
      </w:pPr>
      <w:r w:rsidRPr="004A2704">
        <w:rPr>
          <w:sz w:val="20"/>
        </w:rPr>
        <w:t>3.2. максимальная подключаемая нагрузка – 100,0 м</w:t>
      </w:r>
      <w:r w:rsidRPr="004A2704">
        <w:rPr>
          <w:sz w:val="20"/>
          <w:vertAlign w:val="superscript"/>
        </w:rPr>
        <w:t>3</w:t>
      </w:r>
      <w:r w:rsidRPr="004A2704">
        <w:rPr>
          <w:sz w:val="20"/>
        </w:rPr>
        <w:t>/час;</w:t>
      </w:r>
    </w:p>
    <w:p w:rsidR="00090DF4" w:rsidRPr="004A2704" w:rsidRDefault="00090DF4" w:rsidP="00090DF4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3.3. срок подключения (технологического присоединения) объекта капитального строительства устанавливается индивидуально в соответствии с требованиями п. 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1547;</w:t>
      </w:r>
    </w:p>
    <w:p w:rsidR="00090DF4" w:rsidRPr="004A2704" w:rsidRDefault="00090DF4" w:rsidP="00090DF4">
      <w:pPr>
        <w:pStyle w:val="3"/>
        <w:tabs>
          <w:tab w:val="left" w:pos="90"/>
        </w:tabs>
        <w:ind w:firstLine="284"/>
        <w:rPr>
          <w:sz w:val="20"/>
        </w:rPr>
      </w:pPr>
      <w:r w:rsidRPr="004A2704">
        <w:rPr>
          <w:sz w:val="20"/>
        </w:rPr>
        <w:t>3.4. плата за подключение (технологическое присоединение) – согласно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1547, устанавливается постановлением РСТ Пермского края.</w:t>
      </w:r>
    </w:p>
    <w:p w:rsidR="00090DF4" w:rsidRPr="004A2704" w:rsidRDefault="00090DF4" w:rsidP="00090DF4">
      <w:pPr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4. срок действия технических условий – 3 года.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Предлагаемые условия: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Форма проведения торгов: 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lastRenderedPageBreak/>
        <w:t>- открытый по составу участников аукциона по лотам № 1</w:t>
      </w:r>
      <w:r>
        <w:rPr>
          <w:sz w:val="20"/>
          <w:szCs w:val="20"/>
        </w:rPr>
        <w:t>, 2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аукцион, открытый по форме подачи предложений по цене предмета торгов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аукцион проводится в электронной форме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</w:t>
      </w:r>
      <w:r w:rsidRPr="004A2704">
        <w:rPr>
          <w:b/>
          <w:sz w:val="20"/>
          <w:szCs w:val="20"/>
        </w:rPr>
        <w:t xml:space="preserve">Дата и время начала приема заявок: </w:t>
      </w:r>
      <w:r>
        <w:rPr>
          <w:b/>
          <w:sz w:val="20"/>
          <w:szCs w:val="20"/>
        </w:rPr>
        <w:t>02 сентября</w:t>
      </w:r>
      <w:r w:rsidRPr="004A2704">
        <w:rPr>
          <w:b/>
          <w:sz w:val="20"/>
          <w:szCs w:val="20"/>
        </w:rPr>
        <w:t xml:space="preserve"> 2022 года с 8-30 (местное время).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Порядок приема заявок: лично либо через законного представителя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Срок приема заявок и прилагаемых к ним документов: до 17-30 часов (местное время) </w:t>
      </w:r>
      <w:r>
        <w:rPr>
          <w:b/>
          <w:sz w:val="20"/>
          <w:szCs w:val="20"/>
        </w:rPr>
        <w:t>05 октября</w:t>
      </w:r>
      <w:r w:rsidRPr="004A2704">
        <w:rPr>
          <w:b/>
          <w:sz w:val="20"/>
          <w:szCs w:val="20"/>
        </w:rPr>
        <w:t xml:space="preserve"> 2022 года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Срок отказа от проведения торгов: до </w:t>
      </w:r>
      <w:r>
        <w:rPr>
          <w:b/>
          <w:sz w:val="20"/>
          <w:szCs w:val="20"/>
        </w:rPr>
        <w:t>05</w:t>
      </w:r>
      <w:r w:rsidRPr="004A270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4A2704">
        <w:rPr>
          <w:b/>
          <w:sz w:val="20"/>
          <w:szCs w:val="20"/>
        </w:rPr>
        <w:t>0.2022</w:t>
      </w:r>
    </w:p>
    <w:p w:rsidR="00090DF4" w:rsidRPr="004A2704" w:rsidRDefault="00090DF4" w:rsidP="00090DF4">
      <w:pPr>
        <w:widowControl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 xml:space="preserve">- Срок и порядок внесения задатка: </w:t>
      </w:r>
      <w:r w:rsidRPr="004A2704">
        <w:rPr>
          <w:b/>
          <w:bCs/>
          <w:sz w:val="20"/>
          <w:szCs w:val="20"/>
        </w:rPr>
        <w:t>Задаток перечисляется на реквизиты</w:t>
      </w:r>
      <w:r>
        <w:rPr>
          <w:b/>
          <w:bCs/>
          <w:sz w:val="20"/>
          <w:szCs w:val="20"/>
        </w:rPr>
        <w:t xml:space="preserve"> </w:t>
      </w:r>
      <w:r w:rsidRPr="004A2704">
        <w:rPr>
          <w:b/>
          <w:bCs/>
          <w:sz w:val="20"/>
          <w:szCs w:val="20"/>
        </w:rPr>
        <w:t>оператора электронной площадки (</w:t>
      </w:r>
      <w:hyperlink r:id="rId8" w:history="1">
        <w:r w:rsidRPr="004A2704">
          <w:rPr>
            <w:rStyle w:val="a7"/>
            <w:b/>
            <w:bCs/>
            <w:sz w:val="20"/>
            <w:szCs w:val="20"/>
          </w:rPr>
          <w:t>http://utp.sberbank-ast.ru/AP/Notice/653/Requisites</w:t>
        </w:r>
      </w:hyperlink>
      <w:r w:rsidRPr="004A2704">
        <w:rPr>
          <w:b/>
          <w:bCs/>
          <w:sz w:val="20"/>
          <w:szCs w:val="20"/>
        </w:rPr>
        <w:t>). Н</w:t>
      </w:r>
      <w:r w:rsidRPr="004A2704">
        <w:rPr>
          <w:b/>
          <w:sz w:val="20"/>
          <w:szCs w:val="20"/>
        </w:rPr>
        <w:t xml:space="preserve">азначение платежа – задаток для участия в электронном аукционе. Срок внесения задатка, т.е. поступления суммы задатка на счет Оператора: </w:t>
      </w:r>
      <w:r w:rsidRPr="004A2704">
        <w:rPr>
          <w:b/>
          <w:bCs/>
          <w:sz w:val="20"/>
          <w:szCs w:val="20"/>
        </w:rPr>
        <w:t xml:space="preserve">c </w:t>
      </w:r>
      <w:r>
        <w:rPr>
          <w:b/>
          <w:bCs/>
          <w:sz w:val="20"/>
          <w:szCs w:val="20"/>
        </w:rPr>
        <w:t>02</w:t>
      </w:r>
      <w:r w:rsidRPr="004A270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10</w:t>
      </w:r>
      <w:r w:rsidRPr="004A2704">
        <w:rPr>
          <w:b/>
          <w:bCs/>
          <w:sz w:val="20"/>
          <w:szCs w:val="20"/>
        </w:rPr>
        <w:t xml:space="preserve">.2022 по </w:t>
      </w:r>
      <w:r>
        <w:rPr>
          <w:b/>
          <w:bCs/>
          <w:sz w:val="20"/>
          <w:szCs w:val="20"/>
        </w:rPr>
        <w:t>09</w:t>
      </w:r>
      <w:r w:rsidRPr="004A2704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10</w:t>
      </w:r>
      <w:r w:rsidRPr="004A2704">
        <w:rPr>
          <w:b/>
          <w:bCs/>
          <w:sz w:val="20"/>
          <w:szCs w:val="20"/>
        </w:rPr>
        <w:t>.2022.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Контактный телефон: т. 290-182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- Дата определения участников торгов, подведения итогов торгов: 26 сентября 2022 года в 11-00 (местное время).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Срок заключения договора: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не ранее чем через 10 дней с момента подписания протокола о результатах торгов.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  <w:specVanish w:val="0"/>
        </w:rPr>
      </w:pPr>
      <w:r w:rsidRPr="004A2704">
        <w:rPr>
          <w:sz w:val="20"/>
          <w:szCs w:val="20"/>
        </w:rPr>
        <w:t xml:space="preserve">Проект договора аренды (купли-продажи) земельного участка, форму заявки на участие в торгах, соглашение о задатке заявители могут получить в управлении имущественных и земельных отношений администрации города Березники (пр. Советский, 39) в рабочие дни с понедельника по четверг с 8-30 до 17-30, в пятницу с 8-30 до 16-30, обеденный перерыв с 12-00 до 12-48 либо ознакомиться с проектом договора аренды земельного участка на официальном сайте </w:t>
      </w:r>
      <w:r w:rsidRPr="004A2704">
        <w:rPr>
          <w:rStyle w:val="blk3"/>
          <w:sz w:val="20"/>
          <w:szCs w:val="20"/>
          <w:specVanish w:val="0"/>
        </w:rPr>
        <w:t xml:space="preserve">Российской Федерации в информационно-телекоммуникационной сети "Интернет" </w:t>
      </w:r>
      <w:r w:rsidRPr="004A2704">
        <w:rPr>
          <w:rStyle w:val="blk3"/>
          <w:sz w:val="20"/>
          <w:szCs w:val="20"/>
          <w:lang w:val="en-US"/>
          <w:specVanish w:val="0"/>
        </w:rPr>
        <w:t>www</w:t>
      </w:r>
      <w:r w:rsidRPr="004A2704">
        <w:rPr>
          <w:rStyle w:val="blk3"/>
          <w:sz w:val="20"/>
          <w:szCs w:val="20"/>
          <w:specVanish w:val="0"/>
        </w:rPr>
        <w:t>.</w:t>
      </w:r>
      <w:r w:rsidRPr="004A2704">
        <w:rPr>
          <w:rStyle w:val="blk3"/>
          <w:sz w:val="20"/>
          <w:szCs w:val="20"/>
          <w:lang w:val="en-US"/>
          <w:specVanish w:val="0"/>
        </w:rPr>
        <w:t>torgi</w:t>
      </w:r>
      <w:r w:rsidRPr="004A2704">
        <w:rPr>
          <w:rStyle w:val="blk3"/>
          <w:sz w:val="20"/>
          <w:szCs w:val="20"/>
          <w:specVanish w:val="0"/>
        </w:rPr>
        <w:t>.</w:t>
      </w:r>
      <w:r w:rsidRPr="004A2704">
        <w:rPr>
          <w:rStyle w:val="blk3"/>
          <w:sz w:val="20"/>
          <w:szCs w:val="20"/>
          <w:lang w:val="en-US"/>
          <w:specVanish w:val="0"/>
        </w:rPr>
        <w:t>gov</w:t>
      </w:r>
      <w:r w:rsidRPr="004A2704">
        <w:rPr>
          <w:rStyle w:val="blk3"/>
          <w:sz w:val="20"/>
          <w:szCs w:val="20"/>
          <w:specVanish w:val="0"/>
        </w:rPr>
        <w:t>.</w:t>
      </w:r>
      <w:r w:rsidRPr="004A2704">
        <w:rPr>
          <w:rStyle w:val="blk3"/>
          <w:sz w:val="20"/>
          <w:szCs w:val="20"/>
          <w:lang w:val="en-US"/>
          <w:specVanish w:val="0"/>
        </w:rPr>
        <w:t>ru</w:t>
      </w:r>
      <w:r w:rsidRPr="004A2704">
        <w:rPr>
          <w:rStyle w:val="blk3"/>
          <w:sz w:val="20"/>
          <w:szCs w:val="20"/>
          <w:specVanish w:val="0"/>
        </w:rPr>
        <w:t>. Плата за получение информации не взимается.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rStyle w:val="blk3"/>
          <w:sz w:val="20"/>
          <w:szCs w:val="20"/>
          <w:specVanish w:val="0"/>
        </w:rPr>
      </w:pPr>
      <w:r w:rsidRPr="004A2704">
        <w:rPr>
          <w:rStyle w:val="blk3"/>
          <w:sz w:val="20"/>
          <w:szCs w:val="20"/>
          <w:specVanish w:val="0"/>
        </w:rPr>
        <w:t>Заявка на участие в аукционе оформляется в простой письменной форме на имя главы города, подписывается претендентом (его законным представителем) и должна содержать следующую информацию: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Ф.И.О. (последнее при наличии) претендента (для граждан);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наименование (для юридических лиц);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 праве на земельный участок, о земельном участке (площадь, адрес (адресный ориентир), срок аренды земельного участка (при продаже права заключения договора аренды земельного участка);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паспортные данные претендента (для граждан);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ИНН, ОГРН, КПП претендента (для юридических лиц), а также информацию о руководителе юридического лица (Ф.И.О. (последнее – при наличии), должность, контактный телефон);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адрес регистрации претендента;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дата заполнения заявки;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банковские реквизиты счета для возврата задатка;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 принятии претендентом обязательств, предусмотренных извещением;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об ознакомлении с условиями проведения торгов.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rStyle w:val="blk3"/>
          <w:sz w:val="20"/>
          <w:szCs w:val="20"/>
          <w:specVanish w:val="0"/>
        </w:rPr>
      </w:pPr>
      <w:r w:rsidRPr="004A2704">
        <w:rPr>
          <w:rStyle w:val="blk3"/>
          <w:sz w:val="20"/>
          <w:szCs w:val="20"/>
          <w:specVanish w:val="0"/>
        </w:rPr>
        <w:t xml:space="preserve">Для участия в торгах заявители представляют в установленный в извещении о проведении торгов срок следующие документы: 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1) заявка на участие в торгах;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2) копии документов, удостоверяющих личность заявителя (для граждан);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0DF4" w:rsidRPr="004A2704" w:rsidRDefault="00090DF4" w:rsidP="00090DF4">
      <w:pPr>
        <w:tabs>
          <w:tab w:val="left" w:pos="-993"/>
        </w:tabs>
        <w:ind w:firstLine="284"/>
        <w:jc w:val="both"/>
        <w:rPr>
          <w:sz w:val="20"/>
          <w:szCs w:val="20"/>
        </w:rPr>
      </w:pPr>
      <w:r w:rsidRPr="004A2704">
        <w:rPr>
          <w:rStyle w:val="blk3"/>
          <w:sz w:val="20"/>
          <w:szCs w:val="20"/>
          <w:specVanish w:val="0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Для участия в торгах по лотам заявители вносят задаток по следующим реквизитам: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Получатель: АО «Сбербанк-АСТ»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ИНН 7707308480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КПП 770401001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Наименование банка получателя: ПАО «СБЕРБАНК России» г. Москва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р/с 40702810300020038047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БИК 044525225</w:t>
      </w:r>
    </w:p>
    <w:p w:rsidR="00090DF4" w:rsidRPr="004A2704" w:rsidRDefault="00090DF4" w:rsidP="00090DF4">
      <w:pPr>
        <w:ind w:firstLine="284"/>
        <w:jc w:val="both"/>
        <w:rPr>
          <w:b/>
          <w:sz w:val="20"/>
          <w:szCs w:val="20"/>
        </w:rPr>
      </w:pPr>
      <w:r w:rsidRPr="004A2704">
        <w:rPr>
          <w:b/>
          <w:sz w:val="20"/>
          <w:szCs w:val="20"/>
        </w:rPr>
        <w:t>к/с 30101810400000000225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Задаток, перечисленный победителем торгов, засчитывается в счет расчетов по оплате предмета торгов. Задаток участника торгов, не выигравшего торги, возвращается</w:t>
      </w:r>
      <w:r w:rsidRPr="004A2704">
        <w:rPr>
          <w:b/>
          <w:sz w:val="20"/>
          <w:szCs w:val="20"/>
        </w:rPr>
        <w:t xml:space="preserve"> </w:t>
      </w:r>
      <w:r w:rsidRPr="004A2704">
        <w:rPr>
          <w:sz w:val="20"/>
          <w:szCs w:val="20"/>
        </w:rPr>
        <w:t>на расчетный счет участника в случаях и в сроки, установленные частью 24 статьи 39.11, частями 7, 11, 18, 21 статьи 39.12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ЗК РФ, путем перечисления суммы внесенного задатка на указанный в заявке на участие в аукционе счет Заявителя.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Установить для лотов «шаг аукциона» в размере 3 % от начальной цены предмета торгов.</w:t>
      </w:r>
    </w:p>
    <w:p w:rsidR="00090DF4" w:rsidRPr="004A2704" w:rsidRDefault="00090DF4" w:rsidP="00090DF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Особым условием для победителя торгов по лотам и иным лицам, с которыми договор аренды (купли-продажи) заключается в соответствии с </w:t>
      </w:r>
      <w:hyperlink r:id="rId9" w:history="1">
        <w:r w:rsidRPr="004A2704">
          <w:rPr>
            <w:color w:val="0000FF"/>
            <w:sz w:val="20"/>
            <w:szCs w:val="20"/>
          </w:rPr>
          <w:t>пунктом 13</w:t>
        </w:r>
      </w:hyperlink>
      <w:r w:rsidRPr="004A2704">
        <w:rPr>
          <w:sz w:val="20"/>
          <w:szCs w:val="20"/>
        </w:rPr>
        <w:t xml:space="preserve">, </w:t>
      </w:r>
      <w:hyperlink r:id="rId10" w:history="1">
        <w:r w:rsidRPr="004A2704">
          <w:rPr>
            <w:color w:val="0000FF"/>
            <w:sz w:val="20"/>
            <w:szCs w:val="20"/>
          </w:rPr>
          <w:t>14</w:t>
        </w:r>
      </w:hyperlink>
      <w:r w:rsidRPr="004A2704">
        <w:rPr>
          <w:sz w:val="20"/>
          <w:szCs w:val="20"/>
        </w:rPr>
        <w:t xml:space="preserve"> или </w:t>
      </w:r>
      <w:hyperlink r:id="rId11" w:history="1">
        <w:r w:rsidRPr="004A2704">
          <w:rPr>
            <w:color w:val="0000FF"/>
            <w:sz w:val="20"/>
            <w:szCs w:val="20"/>
          </w:rPr>
          <w:t>20</w:t>
        </w:r>
      </w:hyperlink>
      <w:r w:rsidRPr="004A2704">
        <w:rPr>
          <w:sz w:val="20"/>
          <w:szCs w:val="20"/>
        </w:rPr>
        <w:t xml:space="preserve"> статьи 39.12 Земельного кодекса РФ установить: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- 100 % оплату предложенного размера предмета торгов в течение 5 дней после подписания итогового протокола заседания комиссии по продаже земельных участков (прав их аренды);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 xml:space="preserve">- подписание итогового протокола о результатах торгов в день подведения итогов торгов. 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Аукцион проводится в порядке, установленном статьей 39.12 Земельного кодекса РФ. Во время процедуры торгов участники аукциона вправе заявлять цену предмета торгов кратно установленному шагу аукциона (по каждому лоту).</w:t>
      </w:r>
    </w:p>
    <w:p w:rsidR="00090DF4" w:rsidRPr="004A2704" w:rsidRDefault="00090DF4" w:rsidP="00090DF4">
      <w:pPr>
        <w:widowControl w:val="0"/>
        <w:tabs>
          <w:tab w:val="left" w:pos="-993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lastRenderedPageBreak/>
        <w:t>Критерием выявления победителя по лотам установлен наибольший предложенный размер предмета торгов.</w:t>
      </w:r>
    </w:p>
    <w:p w:rsidR="00090DF4" w:rsidRPr="004A2704" w:rsidRDefault="00090DF4" w:rsidP="00090DF4">
      <w:pPr>
        <w:widowControl w:val="0"/>
        <w:tabs>
          <w:tab w:val="left" w:pos="9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Особо установлено, что размер ежегодной арендной платы за земельный участок может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быть увеличен на основании Федерального Закона РФ, Закона Пермского края, Постановления Правительства РФ, решения субъекта Российской Федерации об индексации ставок арендной платы за землю, но не чаще одного раза в год.</w:t>
      </w:r>
    </w:p>
    <w:p w:rsidR="00090DF4" w:rsidRPr="004A2704" w:rsidRDefault="00090DF4" w:rsidP="00090DF4">
      <w:pPr>
        <w:ind w:firstLine="284"/>
        <w:jc w:val="both"/>
        <w:rPr>
          <w:sz w:val="20"/>
          <w:szCs w:val="20"/>
        </w:rPr>
      </w:pPr>
      <w:r w:rsidRPr="004A2704">
        <w:rPr>
          <w:sz w:val="20"/>
          <w:szCs w:val="20"/>
        </w:rPr>
        <w:t>Аукцион проводится в электронной форме (далее – аукцион) в соответствии с регламентом электронной площадки http://utp.sberbank-ast.ru.</w:t>
      </w:r>
    </w:p>
    <w:p w:rsidR="00090DF4" w:rsidRPr="004A2704" w:rsidRDefault="00090DF4" w:rsidP="00090DF4">
      <w:pPr>
        <w:widowControl w:val="0"/>
        <w:ind w:firstLine="284"/>
        <w:jc w:val="both"/>
        <w:rPr>
          <w:color w:val="FF6600"/>
          <w:sz w:val="20"/>
          <w:szCs w:val="20"/>
          <w:shd w:val="clear" w:color="auto" w:fill="FFFFFF"/>
        </w:rPr>
      </w:pPr>
      <w:r w:rsidRPr="004A2704">
        <w:rPr>
          <w:b/>
          <w:color w:val="000000"/>
          <w:sz w:val="20"/>
          <w:szCs w:val="20"/>
        </w:rPr>
        <w:t>Сайт в сети «Интернет», на котором будет проводиться аукцион:</w:t>
      </w:r>
      <w:r w:rsidRPr="004A2704">
        <w:rPr>
          <w:color w:val="000000"/>
          <w:sz w:val="20"/>
          <w:szCs w:val="20"/>
        </w:rPr>
        <w:t xml:space="preserve"> </w:t>
      </w:r>
      <w:r w:rsidRPr="004A2704">
        <w:rPr>
          <w:sz w:val="20"/>
          <w:szCs w:val="20"/>
        </w:rPr>
        <w:t xml:space="preserve">http://utp.sberbank-ast.ru. </w:t>
      </w:r>
      <w:r w:rsidRPr="004A2704">
        <w:rPr>
          <w:color w:val="000000"/>
          <w:sz w:val="20"/>
          <w:szCs w:val="20"/>
        </w:rPr>
        <w:t xml:space="preserve">(далее – электронная площадка) (торговая секция «Приватизация, аренда и продажа прав»). </w:t>
      </w:r>
    </w:p>
    <w:p w:rsidR="00090DF4" w:rsidRPr="004A2704" w:rsidRDefault="00090DF4" w:rsidP="00090DF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4A2704">
        <w:rPr>
          <w:b/>
          <w:color w:val="000000"/>
          <w:sz w:val="20"/>
          <w:szCs w:val="20"/>
        </w:rPr>
        <w:t>Владелец электронной площадки:</w:t>
      </w:r>
      <w:r w:rsidRPr="004A2704">
        <w:rPr>
          <w:sz w:val="20"/>
          <w:szCs w:val="20"/>
        </w:rPr>
        <w:t xml:space="preserve"> АО «Сбербанк-АСТ»</w:t>
      </w:r>
      <w:r w:rsidRPr="004A2704">
        <w:rPr>
          <w:color w:val="000000"/>
          <w:sz w:val="20"/>
          <w:szCs w:val="20"/>
        </w:rPr>
        <w:t xml:space="preserve"> (далее – Оператор). </w:t>
      </w:r>
    </w:p>
    <w:p w:rsidR="00090DF4" w:rsidRPr="004A2704" w:rsidRDefault="00090DF4" w:rsidP="00090DF4">
      <w:pPr>
        <w:widowControl w:val="0"/>
        <w:ind w:firstLine="284"/>
        <w:jc w:val="both"/>
        <w:rPr>
          <w:sz w:val="20"/>
          <w:szCs w:val="20"/>
        </w:rPr>
      </w:pPr>
      <w:r w:rsidRPr="004A2704">
        <w:rPr>
          <w:color w:val="000000"/>
          <w:sz w:val="20"/>
          <w:szCs w:val="20"/>
        </w:rPr>
        <w:t xml:space="preserve">Контактная информация по Оператору: адрес </w:t>
      </w:r>
      <w:r w:rsidRPr="004A2704">
        <w:rPr>
          <w:sz w:val="20"/>
          <w:szCs w:val="20"/>
        </w:rPr>
        <w:t>местонахождения: 119180, г. Москва, ул. Большая Якиманка, д. 23</w:t>
      </w:r>
    </w:p>
    <w:p w:rsidR="00090DF4" w:rsidRPr="004A2704" w:rsidRDefault="00090DF4" w:rsidP="00090DF4">
      <w:pPr>
        <w:pStyle w:val="a8"/>
        <w:spacing w:before="0" w:beforeAutospacing="0" w:after="0" w:afterAutospacing="0"/>
        <w:ind w:firstLine="284"/>
        <w:rPr>
          <w:sz w:val="20"/>
          <w:szCs w:val="20"/>
        </w:rPr>
      </w:pPr>
      <w:r w:rsidRPr="004A2704">
        <w:rPr>
          <w:sz w:val="20"/>
          <w:szCs w:val="20"/>
        </w:rPr>
        <w:t>контактный телефон: 7 (495) 787-29-97,</w:t>
      </w:r>
      <w:r>
        <w:rPr>
          <w:sz w:val="20"/>
          <w:szCs w:val="20"/>
        </w:rPr>
        <w:t xml:space="preserve"> </w:t>
      </w:r>
      <w:r w:rsidRPr="004A2704">
        <w:rPr>
          <w:sz w:val="20"/>
          <w:szCs w:val="20"/>
        </w:rPr>
        <w:t>7 (495) 787-29-99</w:t>
      </w:r>
    </w:p>
    <w:p w:rsidR="00090DF4" w:rsidRPr="004A2704" w:rsidRDefault="00090DF4" w:rsidP="00090DF4">
      <w:pPr>
        <w:pStyle w:val="a8"/>
        <w:spacing w:before="0" w:beforeAutospacing="0" w:after="0" w:afterAutospacing="0"/>
        <w:ind w:firstLine="284"/>
        <w:rPr>
          <w:sz w:val="20"/>
          <w:szCs w:val="20"/>
        </w:rPr>
      </w:pPr>
      <w:r w:rsidRPr="004A2704">
        <w:rPr>
          <w:sz w:val="20"/>
          <w:szCs w:val="20"/>
        </w:rPr>
        <w:t>адрес электронной почты: property@sberbank-ast.ru, company@sberbank-ast.ru</w:t>
      </w:r>
    </w:p>
    <w:p w:rsidR="00090DF4" w:rsidRPr="004A2704" w:rsidRDefault="00090DF4" w:rsidP="00090DF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/>
          <w:sz w:val="20"/>
          <w:szCs w:val="20"/>
        </w:rPr>
        <w:t xml:space="preserve">Продавец: </w:t>
      </w:r>
      <w:r w:rsidRPr="004A2704">
        <w:rPr>
          <w:sz w:val="20"/>
          <w:szCs w:val="20"/>
        </w:rPr>
        <w:t xml:space="preserve">Управление имущественных и земельных отношений администрации города Березники </w:t>
      </w:r>
      <w:r w:rsidRPr="004A2704">
        <w:rPr>
          <w:bCs/>
          <w:sz w:val="20"/>
          <w:szCs w:val="20"/>
        </w:rPr>
        <w:t>(618417, Пермский край,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 xml:space="preserve">г. Березники, пл. Советская д.1), сайт </w:t>
      </w:r>
      <w:r w:rsidRPr="004A2704">
        <w:rPr>
          <w:sz w:val="20"/>
          <w:szCs w:val="20"/>
          <w:lang w:val="en-US"/>
        </w:rPr>
        <w:t>www</w:t>
      </w:r>
      <w:r w:rsidRPr="004A2704">
        <w:rPr>
          <w:sz w:val="20"/>
          <w:szCs w:val="20"/>
        </w:rPr>
        <w:t>.</w:t>
      </w:r>
      <w:r w:rsidRPr="004A2704">
        <w:rPr>
          <w:sz w:val="20"/>
          <w:szCs w:val="20"/>
          <w:lang w:val="en-US"/>
        </w:rPr>
        <w:t>admbrk</w:t>
      </w:r>
      <w:r w:rsidRPr="004A2704">
        <w:rPr>
          <w:sz w:val="20"/>
          <w:szCs w:val="20"/>
        </w:rPr>
        <w:t>.</w:t>
      </w:r>
      <w:r w:rsidRPr="004A2704">
        <w:rPr>
          <w:sz w:val="20"/>
          <w:szCs w:val="20"/>
          <w:lang w:val="en-US"/>
        </w:rPr>
        <w:t>ru</w:t>
      </w:r>
      <w:r w:rsidRPr="004A2704">
        <w:rPr>
          <w:sz w:val="20"/>
          <w:szCs w:val="20"/>
        </w:rPr>
        <w:t>,</w:t>
      </w:r>
      <w:r w:rsidRPr="004A2704">
        <w:rPr>
          <w:bCs/>
          <w:sz w:val="20"/>
          <w:szCs w:val="20"/>
        </w:rPr>
        <w:t xml:space="preserve"> адрес электронной почты </w:t>
      </w:r>
      <w:r w:rsidRPr="004A2704">
        <w:rPr>
          <w:b/>
          <w:sz w:val="20"/>
          <w:szCs w:val="20"/>
          <w:lang w:val="en-US"/>
        </w:rPr>
        <w:t>zhuravleva</w:t>
      </w:r>
      <w:r w:rsidRPr="004A2704">
        <w:rPr>
          <w:b/>
          <w:sz w:val="20"/>
          <w:szCs w:val="20"/>
        </w:rPr>
        <w:t>_</w:t>
      </w:r>
      <w:r w:rsidRPr="004A2704">
        <w:rPr>
          <w:b/>
          <w:sz w:val="20"/>
          <w:szCs w:val="20"/>
          <w:lang w:val="en-US"/>
        </w:rPr>
        <w:t>e</w:t>
      </w:r>
      <w:r w:rsidRPr="004A2704">
        <w:rPr>
          <w:b/>
          <w:sz w:val="20"/>
          <w:szCs w:val="20"/>
        </w:rPr>
        <w:t>@</w:t>
      </w:r>
      <w:r w:rsidRPr="004A2704">
        <w:rPr>
          <w:b/>
          <w:sz w:val="20"/>
          <w:szCs w:val="20"/>
          <w:lang w:val="en-US"/>
        </w:rPr>
        <w:t>berezniki</w:t>
      </w:r>
      <w:r w:rsidRPr="004A2704">
        <w:rPr>
          <w:b/>
          <w:sz w:val="20"/>
          <w:szCs w:val="20"/>
        </w:rPr>
        <w:t>.</w:t>
      </w:r>
      <w:r w:rsidRPr="004A2704">
        <w:rPr>
          <w:b/>
          <w:sz w:val="20"/>
          <w:szCs w:val="20"/>
          <w:lang w:val="en-US"/>
        </w:rPr>
        <w:t>perm</w:t>
      </w:r>
      <w:r w:rsidRPr="004A2704">
        <w:rPr>
          <w:b/>
          <w:sz w:val="20"/>
          <w:szCs w:val="20"/>
        </w:rPr>
        <w:t>.</w:t>
      </w:r>
      <w:r w:rsidRPr="004A2704">
        <w:rPr>
          <w:b/>
          <w:sz w:val="20"/>
          <w:szCs w:val="20"/>
          <w:lang w:val="en-US"/>
        </w:rPr>
        <w:t>ru</w:t>
      </w:r>
      <w:r w:rsidRPr="004A2704">
        <w:rPr>
          <w:bCs/>
          <w:sz w:val="20"/>
          <w:szCs w:val="20"/>
        </w:rPr>
        <w:t>, телефон: 8 (3424) 29 01 82.</w:t>
      </w:r>
    </w:p>
    <w:p w:rsidR="00090DF4" w:rsidRPr="004A2704" w:rsidRDefault="00090DF4" w:rsidP="00090DF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Инструкция по работе в торговой секции «Приватизация, аренда и продажа прав» электронной площадки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http://utp.sberbank-ast.ru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размещена по адресу:</w:t>
      </w:r>
      <w:r>
        <w:rPr>
          <w:bCs/>
          <w:sz w:val="20"/>
          <w:szCs w:val="20"/>
        </w:rPr>
        <w:t xml:space="preserve"> </w:t>
      </w:r>
      <w:r w:rsidRPr="004A2704">
        <w:rPr>
          <w:bCs/>
          <w:sz w:val="20"/>
          <w:szCs w:val="20"/>
        </w:rPr>
        <w:t>http://utp.sberbank-ast.ru/AP/Notice/652/Instructions.</w:t>
      </w:r>
    </w:p>
    <w:p w:rsidR="00090DF4" w:rsidRPr="004A2704" w:rsidRDefault="00090DF4" w:rsidP="00090DF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90DF4" w:rsidRPr="004A2704" w:rsidRDefault="00090DF4" w:rsidP="00090DF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4A2704">
        <w:rPr>
          <w:bCs/>
          <w:sz w:val="20"/>
          <w:szCs w:val="20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90DF4" w:rsidRDefault="00090DF4" w:rsidP="00090DF4">
      <w:pPr>
        <w:ind w:firstLine="284"/>
        <w:jc w:val="both"/>
        <w:rPr>
          <w:b/>
          <w:sz w:val="20"/>
          <w:szCs w:val="20"/>
        </w:rPr>
      </w:pPr>
    </w:p>
    <w:p w:rsidR="006E58FF" w:rsidRPr="00090DF4" w:rsidRDefault="00090DF4" w:rsidP="00090DF4">
      <w:bookmarkStart w:id="0" w:name="_GoBack"/>
      <w:bookmarkEnd w:id="0"/>
    </w:p>
    <w:sectPr w:rsidR="006E58FF" w:rsidRPr="00090DF4" w:rsidSect="005F3F5B">
      <w:headerReference w:type="even" r:id="rId12"/>
      <w:headerReference w:type="default" r:id="rId13"/>
      <w:pgSz w:w="12240" w:h="15840"/>
      <w:pgMar w:top="567" w:right="618" w:bottom="567" w:left="85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D3" w:rsidRDefault="00090DF4" w:rsidP="00FA6A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7BD3" w:rsidRDefault="00090DF4" w:rsidP="00A0735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D3" w:rsidRPr="00A07352" w:rsidRDefault="00090DF4" w:rsidP="00FA6A95">
    <w:pPr>
      <w:pStyle w:val="aa"/>
      <w:framePr w:wrap="around" w:vAnchor="text" w:hAnchor="margin" w:xAlign="right" w:y="1"/>
      <w:rPr>
        <w:rStyle w:val="ac"/>
        <w:sz w:val="18"/>
        <w:szCs w:val="18"/>
      </w:rPr>
    </w:pPr>
    <w:r w:rsidRPr="00A07352">
      <w:rPr>
        <w:rStyle w:val="ac"/>
        <w:sz w:val="18"/>
        <w:szCs w:val="18"/>
      </w:rPr>
      <w:fldChar w:fldCharType="begin"/>
    </w:r>
    <w:r w:rsidRPr="00A07352">
      <w:rPr>
        <w:rStyle w:val="ac"/>
        <w:sz w:val="18"/>
        <w:szCs w:val="18"/>
      </w:rPr>
      <w:instrText xml:space="preserve">PAGE  </w:instrText>
    </w:r>
    <w:r w:rsidRPr="00A07352">
      <w:rPr>
        <w:rStyle w:val="ac"/>
        <w:sz w:val="18"/>
        <w:szCs w:val="18"/>
      </w:rPr>
      <w:fldChar w:fldCharType="separate"/>
    </w:r>
    <w:r>
      <w:rPr>
        <w:rStyle w:val="ac"/>
        <w:noProof/>
        <w:sz w:val="18"/>
        <w:szCs w:val="18"/>
      </w:rPr>
      <w:t>10</w:t>
    </w:r>
    <w:r w:rsidRPr="00A07352">
      <w:rPr>
        <w:rStyle w:val="ac"/>
        <w:sz w:val="18"/>
        <w:szCs w:val="18"/>
      </w:rPr>
      <w:fldChar w:fldCharType="end"/>
    </w:r>
  </w:p>
  <w:p w:rsidR="00A17BD3" w:rsidRDefault="00090DF4" w:rsidP="00A07352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3C"/>
    <w:rsid w:val="00090DF4"/>
    <w:rsid w:val="002B6C04"/>
    <w:rsid w:val="00360F3C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6C0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6C0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B6C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3">
    <w:name w:val="blk3"/>
    <w:basedOn w:val="a0"/>
    <w:rsid w:val="002B6C04"/>
    <w:rPr>
      <w:vanish w:val="0"/>
      <w:webHidden w:val="0"/>
      <w:specVanish w:val="0"/>
    </w:rPr>
  </w:style>
  <w:style w:type="paragraph" w:styleId="a5">
    <w:name w:val="List Paragraph"/>
    <w:basedOn w:val="a"/>
    <w:qFormat/>
    <w:rsid w:val="002B6C04"/>
    <w:pPr>
      <w:ind w:left="720"/>
      <w:contextualSpacing/>
    </w:pPr>
  </w:style>
  <w:style w:type="paragraph" w:customStyle="1" w:styleId="Default">
    <w:name w:val="Default"/>
    <w:rsid w:val="002B6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 Знак"/>
    <w:basedOn w:val="a"/>
    <w:rsid w:val="00090DF4"/>
    <w:pPr>
      <w:spacing w:line="240" w:lineRule="exact"/>
      <w:jc w:val="both"/>
    </w:pPr>
    <w:rPr>
      <w:lang w:val="en-US" w:eastAsia="en-US"/>
    </w:rPr>
  </w:style>
  <w:style w:type="paragraph" w:styleId="2">
    <w:name w:val="Body Text Indent 2"/>
    <w:basedOn w:val="a"/>
    <w:link w:val="20"/>
    <w:rsid w:val="0009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90DF4"/>
    <w:rPr>
      <w:color w:val="0000FF"/>
      <w:u w:val="single"/>
    </w:rPr>
  </w:style>
  <w:style w:type="paragraph" w:styleId="a8">
    <w:name w:val="Normal (Web)"/>
    <w:basedOn w:val="a"/>
    <w:link w:val="a9"/>
    <w:rsid w:val="00090DF4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090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90D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9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B6C04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6C0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B6C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3">
    <w:name w:val="blk3"/>
    <w:basedOn w:val="a0"/>
    <w:rsid w:val="002B6C04"/>
    <w:rPr>
      <w:vanish w:val="0"/>
      <w:webHidden w:val="0"/>
      <w:specVanish w:val="0"/>
    </w:rPr>
  </w:style>
  <w:style w:type="paragraph" w:styleId="a5">
    <w:name w:val="List Paragraph"/>
    <w:basedOn w:val="a"/>
    <w:qFormat/>
    <w:rsid w:val="002B6C04"/>
    <w:pPr>
      <w:ind w:left="720"/>
      <w:contextualSpacing/>
    </w:pPr>
  </w:style>
  <w:style w:type="paragraph" w:customStyle="1" w:styleId="Default">
    <w:name w:val="Default"/>
    <w:rsid w:val="002B6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 Знак"/>
    <w:basedOn w:val="a"/>
    <w:rsid w:val="00090DF4"/>
    <w:pPr>
      <w:spacing w:line="240" w:lineRule="exact"/>
      <w:jc w:val="both"/>
    </w:pPr>
    <w:rPr>
      <w:lang w:val="en-US" w:eastAsia="en-US"/>
    </w:rPr>
  </w:style>
  <w:style w:type="paragraph" w:styleId="2">
    <w:name w:val="Body Text Indent 2"/>
    <w:basedOn w:val="a"/>
    <w:link w:val="20"/>
    <w:rsid w:val="00090D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90DF4"/>
    <w:rPr>
      <w:color w:val="0000FF"/>
      <w:u w:val="single"/>
    </w:rPr>
  </w:style>
  <w:style w:type="paragraph" w:styleId="a8">
    <w:name w:val="Normal (Web)"/>
    <w:basedOn w:val="a"/>
    <w:link w:val="a9"/>
    <w:rsid w:val="00090DF4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090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90D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9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7A8441A4509A07AD91C76415DDBC35DED2859DE81B4CA345B3ABAE976A666CCAD11B5AD34D3184B534C405D581D8B5D1FA90D89G6WD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A8441A4509A07AD91C76415DDBC35DED2859DE81B4CA345B3ABAE976A666CCAD11B4A436D3184B534C405D581D8B5D1FA90D89G6WDJ" TargetMode="External"/><Relationship Id="rId11" Type="http://schemas.openxmlformats.org/officeDocument/2006/relationships/hyperlink" Target="consultantplus://offline/ref=7E97A8441A4509A07AD91C76415DDBC35DED2859DE81B4CA345B3ABAE976A666CCAD11B5AD34D3184B534C405D581D8B5D1FA90D89G6WDJ" TargetMode="External"/><Relationship Id="rId5" Type="http://schemas.openxmlformats.org/officeDocument/2006/relationships/hyperlink" Target="consultantplus://offline/ref=7E97A8441A4509A07AD91C76415DDBC35DED2859DE81B4CA345B3ABAE976A666CCAD11B4A53FD3184B534C405D581D8B5D1FA90D89G6W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97A8441A4509A07AD91C76415DDBC35DED2859DE81B4CA345B3ABAE976A666CCAD11B4A436D3184B534C405D581D8B5D1FA90D89G6W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7A8441A4509A07AD91C76415DDBC35DED2859DE81B4CA345B3ABAE976A666CCAD11B4A53FD3184B534C405D581D8B5D1FA90D89G6W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6398</Words>
  <Characters>36469</Characters>
  <Application>Microsoft Office Word</Application>
  <DocSecurity>0</DocSecurity>
  <Lines>303</Lines>
  <Paragraphs>85</Paragraphs>
  <ScaleCrop>false</ScaleCrop>
  <Company/>
  <LinksUpToDate>false</LinksUpToDate>
  <CharactersWithSpaces>42782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2022-08-29T10:57:00Z</dcterms:created>
  <dcterms:modified xsi:type="dcterms:W3CDTF">2022-08-29T11:04:00Z</dcterms:modified>
</cp:coreProperties>
</file>